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2" w:rsidRDefault="00406652" w:rsidP="00406652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bookmarkStart w:id="0" w:name="top"/>
      <w:bookmarkEnd w:id="0"/>
      <w:r w:rsidRPr="009F6354"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>1.13.2 Spiritual Development</w:t>
      </w:r>
    </w:p>
    <w:p w:rsidR="00E7707D" w:rsidRDefault="00E7707D" w:rsidP="00E7707D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Regulations and Standards</w:t>
      </w:r>
    </w:p>
    <w:p w:rsidR="00E7707D" w:rsidRPr="00E7707D" w:rsidRDefault="00E7707D" w:rsidP="00E7707D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7707D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England</w:t>
      </w:r>
    </w:p>
    <w:p w:rsidR="00E7707D" w:rsidRPr="00EC39B9" w:rsidRDefault="00406652" w:rsidP="00E7707D">
      <w:pPr>
        <w:pStyle w:val="ListParagraph"/>
        <w:numPr>
          <w:ilvl w:val="0"/>
          <w:numId w:val="4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6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7: The children’s wishes and feelings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7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children’s wishes and feelings standard</w:t>
        </w:r>
      </w:hyperlink>
    </w:p>
    <w:p w:rsidR="00E7707D" w:rsidRPr="00EC39B9" w:rsidRDefault="00406652" w:rsidP="00E7707D">
      <w:pPr>
        <w:pStyle w:val="ListParagraph"/>
        <w:numPr>
          <w:ilvl w:val="0"/>
          <w:numId w:val="4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8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8: The education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9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education standard</w:t>
        </w:r>
      </w:hyperlink>
    </w:p>
    <w:p w:rsidR="00E7707D" w:rsidRPr="00EC39B9" w:rsidRDefault="00406652" w:rsidP="00E7707D">
      <w:pPr>
        <w:pStyle w:val="ListParagraph"/>
        <w:numPr>
          <w:ilvl w:val="0"/>
          <w:numId w:val="4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0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9: The enjoyment and achievement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1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enjoyment and achievement standard</w:t>
        </w:r>
      </w:hyperlink>
    </w:p>
    <w:p w:rsidR="00E7707D" w:rsidRPr="00EC39B9" w:rsidRDefault="00406652" w:rsidP="00E7707D">
      <w:pPr>
        <w:pStyle w:val="ListParagraph"/>
        <w:numPr>
          <w:ilvl w:val="0"/>
          <w:numId w:val="4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2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10: The health and well-being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n-GB"/>
        </w:rPr>
      </w:pPr>
      <w:hyperlink r:id="rId13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health and well-being standard</w:t>
        </w:r>
      </w:hyperlink>
    </w:p>
    <w:p w:rsidR="00E7707D" w:rsidRPr="00EC39B9" w:rsidRDefault="00406652" w:rsidP="00E7707D">
      <w:pPr>
        <w:pStyle w:val="ListParagraph"/>
        <w:numPr>
          <w:ilvl w:val="0"/>
          <w:numId w:val="43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4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13: The leadership and management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5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leadership and management standard</w:t>
        </w:r>
      </w:hyperlink>
    </w:p>
    <w:p w:rsidR="00E7707D" w:rsidRPr="00EC39B9" w:rsidRDefault="00406652" w:rsidP="00E7707D">
      <w:pPr>
        <w:pStyle w:val="ListParagraph"/>
        <w:numPr>
          <w:ilvl w:val="0"/>
          <w:numId w:val="43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6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Regulation 14: The care planning standard</w:t>
        </w:r>
      </w:hyperlink>
    </w:p>
    <w:p w:rsidR="00E7707D" w:rsidRPr="00EC39B9" w:rsidRDefault="00406652" w:rsidP="00E7707D">
      <w:pPr>
        <w:pStyle w:val="ListParagraph"/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7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Guide to the care planning standard</w:t>
        </w:r>
      </w:hyperlink>
    </w:p>
    <w:p w:rsidR="00E7707D" w:rsidRPr="00E7707D" w:rsidRDefault="00E7707D" w:rsidP="00E7707D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7707D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Wales</w:t>
      </w:r>
    </w:p>
    <w:p w:rsidR="00E7707D" w:rsidRPr="00EC39B9" w:rsidRDefault="00406652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hyperlink r:id="rId18" w:history="1">
        <w:r w:rsidR="00E7707D"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Social Services and Well-being (Wales) Act 2014</w:t>
        </w:r>
      </w:hyperlink>
    </w:p>
    <w:p w:rsidR="00E7707D" w:rsidRPr="00EC39B9" w:rsidRDefault="00E7707D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Regulation 21: Standards of care and support – overarching requirements </w:t>
      </w:r>
      <w:hyperlink r:id="rId19" w:history="1">
        <w:r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https://www.legislation.gov.uk/wsi/2017/1264/regulation/21/made</w:t>
        </w:r>
      </w:hyperlink>
    </w:p>
    <w:p w:rsidR="00E7707D" w:rsidRPr="00EC39B9" w:rsidRDefault="00E7707D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Regulation 25: Respect and sensitivity </w:t>
      </w:r>
      <w:hyperlink r:id="rId20" w:history="1">
        <w:r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https://www.legislation.gov.uk/wsi/2017/1264/regulation/25/made</w:t>
        </w:r>
      </w:hyperlink>
    </w:p>
    <w:p w:rsidR="00E7707D" w:rsidRPr="00EC39B9" w:rsidRDefault="00E7707D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Regulation 33: Access to health and other services </w:t>
      </w:r>
      <w:hyperlink r:id="rId21" w:history="1">
        <w:r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https://www.legislation.gov.uk/wsi/2017/1264/regulation/33/made</w:t>
        </w:r>
      </w:hyperlink>
    </w:p>
    <w:p w:rsidR="00E7707D" w:rsidRPr="00EC39B9" w:rsidRDefault="00E7707D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Regulation 34 – Staffing overarching requirements </w:t>
      </w:r>
      <w:hyperlink r:id="rId22" w:history="1">
        <w:r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https://www.legislation.gov.uk/wsi/2017/1264/regulation/34/made</w:t>
        </w:r>
      </w:hyperlink>
    </w:p>
    <w:p w:rsidR="00E7707D" w:rsidRPr="00EC39B9" w:rsidRDefault="00E7707D" w:rsidP="00E7707D">
      <w:pPr>
        <w:pStyle w:val="ListParagraph"/>
        <w:numPr>
          <w:ilvl w:val="0"/>
          <w:numId w:val="45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</w:pPr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National outcomes framework: Measuring well-being </w:t>
      </w:r>
      <w:hyperlink r:id="rId23" w:history="1">
        <w:r w:rsidRPr="00EC39B9">
          <w:rPr>
            <w:rStyle w:val="Hyperlink"/>
            <w:rFonts w:ascii="Arial" w:eastAsia="Times New Roman" w:hAnsi="Arial" w:cs="Arial"/>
            <w:color w:val="17365D" w:themeColor="text2" w:themeShade="BF"/>
            <w:sz w:val="20"/>
            <w:szCs w:val="20"/>
            <w:lang w:val="en-US" w:eastAsia="en-GB"/>
          </w:rPr>
          <w:t>https://gov.wales/topics/health/socialcare/well-being/?lang=en</w:t>
        </w:r>
      </w:hyperlink>
      <w:r w:rsidRPr="00EC39B9"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en-GB"/>
        </w:rPr>
        <w:t xml:space="preserve"> </w:t>
      </w:r>
    </w:p>
    <w:p w:rsidR="00590373" w:rsidRPr="009F6354" w:rsidRDefault="00590373" w:rsidP="009F6354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This Procedure should be read in conjunction with </w:t>
      </w:r>
      <w:hyperlink r:id="rId24" w:history="1">
        <w:r w:rsidRPr="009F6354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Caring for Children from Minority Ethnic Groups Guidance</w:t>
        </w:r>
      </w:hyperlink>
      <w:r w:rsidRPr="009F6354">
        <w:rPr>
          <w:rFonts w:ascii="Arial" w:eastAsia="Times New Roman" w:hAnsi="Arial" w:cs="Arial"/>
          <w:sz w:val="20"/>
          <w:szCs w:val="20"/>
          <w:lang w:eastAsia="en-GB"/>
        </w:rPr>
        <w:t> and</w:t>
      </w:r>
      <w:hyperlink r:id="rId25" w:history="1">
        <w:r w:rsidRPr="009F6354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 Assessment of Children and Families from Black and Ethnic Minority Backgrounds Guidance</w:t>
        </w:r>
      </w:hyperlink>
    </w:p>
    <w:p w:rsidR="00590373" w:rsidRPr="009F6354" w:rsidRDefault="00590373" w:rsidP="009F6354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Each child's </w:t>
      </w:r>
      <w:hyperlink r:id="rId26" w:tgtFrame="_blank" w:history="1">
        <w:r w:rsidRPr="009F6354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Placement Plan</w:t>
        </w:r>
      </w:hyperlink>
      <w:r w:rsidRPr="009F6354">
        <w:rPr>
          <w:rFonts w:ascii="Arial" w:eastAsia="Times New Roman" w:hAnsi="Arial" w:cs="Arial"/>
          <w:sz w:val="20"/>
          <w:szCs w:val="20"/>
          <w:lang w:eastAsia="en-GB"/>
        </w:rPr>
        <w:t> should show how their religious and spiritual development needs are being accounted for; with a view to encouraging and supporting them to maintain a positive regard for their background and culture.</w:t>
      </w:r>
    </w:p>
    <w:p w:rsidR="00590373" w:rsidRPr="009F6354" w:rsidRDefault="00590373" w:rsidP="009F6354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In the absence of a Placement Plan, the following should be adhered to:</w:t>
      </w:r>
    </w:p>
    <w:p w:rsidR="00590373" w:rsidRPr="009F6354" w:rsidRDefault="00590373" w:rsidP="009F6354">
      <w:pPr>
        <w:numPr>
          <w:ilvl w:val="0"/>
          <w:numId w:val="40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Children should be provided with balanced information and advice about their own religion and cultural background, or that of their family;</w:t>
      </w:r>
    </w:p>
    <w:p w:rsidR="00590373" w:rsidRPr="009F6354" w:rsidRDefault="00590373" w:rsidP="009F6354">
      <w:pPr>
        <w:numPr>
          <w:ilvl w:val="0"/>
          <w:numId w:val="40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If they wish to do so, children should be encouraged and supported to join or confirm their faith. They should also be supported to explore and choose a different faith or no faith at all;</w:t>
      </w:r>
    </w:p>
    <w:p w:rsidR="00590373" w:rsidRPr="009F6354" w:rsidRDefault="00590373" w:rsidP="009F6354">
      <w:pPr>
        <w:numPr>
          <w:ilvl w:val="0"/>
          <w:numId w:val="40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Children's daily routine, including their mealtimes and diet, should be amended to account for their religious and spiritual observances/needs;</w:t>
      </w:r>
      <w:r w:rsidRPr="009F63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9F6354">
        <w:rPr>
          <w:rFonts w:ascii="Arial" w:eastAsia="Times New Roman" w:hAnsi="Arial" w:cs="Arial"/>
          <w:sz w:val="20"/>
          <w:szCs w:val="20"/>
          <w:lang w:eastAsia="en-GB"/>
        </w:rPr>
        <w:br/>
        <w:t>See </w:t>
      </w:r>
      <w:hyperlink r:id="rId27" w:history="1">
        <w:r w:rsidRPr="009F6354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Nutrition, Diet and Mealtimes Procedure</w:t>
        </w:r>
      </w:hyperlink>
    </w:p>
    <w:p w:rsidR="00590373" w:rsidRPr="009F6354" w:rsidRDefault="00590373" w:rsidP="009F6354">
      <w:pPr>
        <w:numPr>
          <w:ilvl w:val="0"/>
          <w:numId w:val="40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lastRenderedPageBreak/>
        <w:t>Birthdays or other celebratory days or occasions relating to children's preferred religion will be given special significance and celebrated as appropriate;</w:t>
      </w:r>
    </w:p>
    <w:p w:rsidR="00590373" w:rsidRPr="009F6354" w:rsidRDefault="00590373" w:rsidP="009F6354">
      <w:pPr>
        <w:numPr>
          <w:ilvl w:val="0"/>
          <w:numId w:val="40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sz w:val="20"/>
          <w:szCs w:val="20"/>
          <w:lang w:eastAsia="en-GB"/>
        </w:rPr>
        <w:t>Children should also be encouraged to explore and understand different religions and cultures to their own; this should include meeting people with different backgrounds and cultures.</w:t>
      </w:r>
    </w:p>
    <w:p w:rsidR="00590373" w:rsidRPr="009F6354" w:rsidRDefault="00590373" w:rsidP="009F6354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9F63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</w:p>
    <w:p w:rsidR="00631209" w:rsidRPr="009F6354" w:rsidRDefault="00631209" w:rsidP="009F6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0CAE" w:rsidRPr="009F6354" w:rsidRDefault="00A80CAE" w:rsidP="009F6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C1538" w:rsidRPr="009F6354" w:rsidRDefault="005C1538" w:rsidP="009F6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62FB7" w:rsidRPr="009F6354" w:rsidRDefault="00162FB7" w:rsidP="009F6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7322C" w:rsidRPr="009F6354" w:rsidRDefault="0087322C" w:rsidP="009F6354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87322C" w:rsidRPr="009F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6D"/>
    <w:multiLevelType w:val="multilevel"/>
    <w:tmpl w:val="46B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61A1"/>
    <w:multiLevelType w:val="multilevel"/>
    <w:tmpl w:val="45D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3400"/>
    <w:multiLevelType w:val="multilevel"/>
    <w:tmpl w:val="3FB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77D28"/>
    <w:multiLevelType w:val="multilevel"/>
    <w:tmpl w:val="5F688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002C9"/>
    <w:multiLevelType w:val="multilevel"/>
    <w:tmpl w:val="3314F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044E0"/>
    <w:multiLevelType w:val="multilevel"/>
    <w:tmpl w:val="109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8621F"/>
    <w:multiLevelType w:val="hybridMultilevel"/>
    <w:tmpl w:val="3E802E10"/>
    <w:lvl w:ilvl="0" w:tplc="BB961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244E"/>
    <w:multiLevelType w:val="multilevel"/>
    <w:tmpl w:val="DFB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21468"/>
    <w:multiLevelType w:val="multilevel"/>
    <w:tmpl w:val="21E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82B27"/>
    <w:multiLevelType w:val="multilevel"/>
    <w:tmpl w:val="3F9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B00FC"/>
    <w:multiLevelType w:val="multilevel"/>
    <w:tmpl w:val="D53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D07BD"/>
    <w:multiLevelType w:val="multilevel"/>
    <w:tmpl w:val="0DE6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463C9"/>
    <w:multiLevelType w:val="multilevel"/>
    <w:tmpl w:val="AB2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A77AA"/>
    <w:multiLevelType w:val="hybridMultilevel"/>
    <w:tmpl w:val="13C8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81BDC"/>
    <w:multiLevelType w:val="hybridMultilevel"/>
    <w:tmpl w:val="270E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7026A"/>
    <w:multiLevelType w:val="multilevel"/>
    <w:tmpl w:val="B3C6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421AE"/>
    <w:multiLevelType w:val="multilevel"/>
    <w:tmpl w:val="B01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52A19"/>
    <w:multiLevelType w:val="multilevel"/>
    <w:tmpl w:val="570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72377"/>
    <w:multiLevelType w:val="multilevel"/>
    <w:tmpl w:val="696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560D1"/>
    <w:multiLevelType w:val="multilevel"/>
    <w:tmpl w:val="205A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75E10"/>
    <w:multiLevelType w:val="multilevel"/>
    <w:tmpl w:val="93F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103CB"/>
    <w:multiLevelType w:val="multilevel"/>
    <w:tmpl w:val="709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802CA"/>
    <w:multiLevelType w:val="hybridMultilevel"/>
    <w:tmpl w:val="69928BF0"/>
    <w:lvl w:ilvl="0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A0950"/>
    <w:multiLevelType w:val="multilevel"/>
    <w:tmpl w:val="CBB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41FCF"/>
    <w:multiLevelType w:val="multilevel"/>
    <w:tmpl w:val="F8F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61090"/>
    <w:multiLevelType w:val="multilevel"/>
    <w:tmpl w:val="17B8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A61F6"/>
    <w:multiLevelType w:val="multilevel"/>
    <w:tmpl w:val="E29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60A57"/>
    <w:multiLevelType w:val="multilevel"/>
    <w:tmpl w:val="A4A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D789D"/>
    <w:multiLevelType w:val="multilevel"/>
    <w:tmpl w:val="F7C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0721E"/>
    <w:multiLevelType w:val="multilevel"/>
    <w:tmpl w:val="715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63BF2"/>
    <w:multiLevelType w:val="multilevel"/>
    <w:tmpl w:val="05C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84C06"/>
    <w:multiLevelType w:val="multilevel"/>
    <w:tmpl w:val="A9FEE6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C83522D"/>
    <w:multiLevelType w:val="multilevel"/>
    <w:tmpl w:val="8F1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F727C"/>
    <w:multiLevelType w:val="hybridMultilevel"/>
    <w:tmpl w:val="90B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17758"/>
    <w:multiLevelType w:val="multilevel"/>
    <w:tmpl w:val="664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C5751"/>
    <w:multiLevelType w:val="multilevel"/>
    <w:tmpl w:val="028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B4AA2"/>
    <w:multiLevelType w:val="multilevel"/>
    <w:tmpl w:val="CBC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E7167"/>
    <w:multiLevelType w:val="multilevel"/>
    <w:tmpl w:val="A264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F7E84"/>
    <w:multiLevelType w:val="multilevel"/>
    <w:tmpl w:val="E70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A23A5"/>
    <w:multiLevelType w:val="multilevel"/>
    <w:tmpl w:val="78A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C0F01"/>
    <w:multiLevelType w:val="multilevel"/>
    <w:tmpl w:val="79E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35628"/>
    <w:multiLevelType w:val="multilevel"/>
    <w:tmpl w:val="FD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31838"/>
    <w:multiLevelType w:val="multilevel"/>
    <w:tmpl w:val="B6349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A0EEC"/>
    <w:multiLevelType w:val="multilevel"/>
    <w:tmpl w:val="6DB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8B4396"/>
    <w:multiLevelType w:val="multilevel"/>
    <w:tmpl w:val="2C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41"/>
  </w:num>
  <w:num w:numId="6">
    <w:abstractNumId w:val="8"/>
  </w:num>
  <w:num w:numId="7">
    <w:abstractNumId w:val="26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24"/>
  </w:num>
  <w:num w:numId="13">
    <w:abstractNumId w:val="30"/>
  </w:num>
  <w:num w:numId="14">
    <w:abstractNumId w:val="40"/>
  </w:num>
  <w:num w:numId="15">
    <w:abstractNumId w:val="31"/>
  </w:num>
  <w:num w:numId="16">
    <w:abstractNumId w:val="42"/>
  </w:num>
  <w:num w:numId="17">
    <w:abstractNumId w:val="12"/>
  </w:num>
  <w:num w:numId="18">
    <w:abstractNumId w:val="7"/>
  </w:num>
  <w:num w:numId="19">
    <w:abstractNumId w:val="28"/>
  </w:num>
  <w:num w:numId="20">
    <w:abstractNumId w:val="23"/>
  </w:num>
  <w:num w:numId="21">
    <w:abstractNumId w:val="1"/>
  </w:num>
  <w:num w:numId="22">
    <w:abstractNumId w:val="38"/>
  </w:num>
  <w:num w:numId="23">
    <w:abstractNumId w:val="36"/>
  </w:num>
  <w:num w:numId="24">
    <w:abstractNumId w:val="20"/>
  </w:num>
  <w:num w:numId="25">
    <w:abstractNumId w:val="44"/>
  </w:num>
  <w:num w:numId="26">
    <w:abstractNumId w:val="16"/>
  </w:num>
  <w:num w:numId="27">
    <w:abstractNumId w:val="34"/>
  </w:num>
  <w:num w:numId="28">
    <w:abstractNumId w:val="0"/>
  </w:num>
  <w:num w:numId="29">
    <w:abstractNumId w:val="29"/>
  </w:num>
  <w:num w:numId="30">
    <w:abstractNumId w:val="35"/>
  </w:num>
  <w:num w:numId="31">
    <w:abstractNumId w:val="3"/>
  </w:num>
  <w:num w:numId="32">
    <w:abstractNumId w:val="15"/>
  </w:num>
  <w:num w:numId="33">
    <w:abstractNumId w:val="32"/>
  </w:num>
  <w:num w:numId="34">
    <w:abstractNumId w:val="25"/>
  </w:num>
  <w:num w:numId="35">
    <w:abstractNumId w:val="9"/>
  </w:num>
  <w:num w:numId="36">
    <w:abstractNumId w:val="11"/>
    <w:lvlOverride w:ilvl="0">
      <w:lvl w:ilvl="0">
        <w:numFmt w:val="lowerLetter"/>
        <w:lvlText w:val="%1."/>
        <w:lvlJc w:val="left"/>
      </w:lvl>
    </w:lvlOverride>
  </w:num>
  <w:num w:numId="37">
    <w:abstractNumId w:val="4"/>
  </w:num>
  <w:num w:numId="38">
    <w:abstractNumId w:val="37"/>
  </w:num>
  <w:num w:numId="39">
    <w:abstractNumId w:val="2"/>
    <w:lvlOverride w:ilvl="0">
      <w:lvl w:ilvl="0">
        <w:numFmt w:val="lowerLetter"/>
        <w:lvlText w:val="%1."/>
        <w:lvlJc w:val="left"/>
      </w:lvl>
    </w:lvlOverride>
  </w:num>
  <w:num w:numId="40">
    <w:abstractNumId w:val="27"/>
  </w:num>
  <w:num w:numId="41">
    <w:abstractNumId w:val="13"/>
  </w:num>
  <w:num w:numId="42">
    <w:abstractNumId w:val="6"/>
  </w:num>
  <w:num w:numId="43">
    <w:abstractNumId w:val="14"/>
  </w:num>
  <w:num w:numId="44">
    <w:abstractNumId w:val="22"/>
  </w:num>
  <w:num w:numId="4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9"/>
    <w:rsid w:val="000767E1"/>
    <w:rsid w:val="000C7882"/>
    <w:rsid w:val="00103729"/>
    <w:rsid w:val="00162FB7"/>
    <w:rsid w:val="001837D9"/>
    <w:rsid w:val="0019226D"/>
    <w:rsid w:val="001954DD"/>
    <w:rsid w:val="001D54B9"/>
    <w:rsid w:val="00204FFF"/>
    <w:rsid w:val="00271459"/>
    <w:rsid w:val="002D740C"/>
    <w:rsid w:val="002E5BBA"/>
    <w:rsid w:val="00303DCD"/>
    <w:rsid w:val="003077C6"/>
    <w:rsid w:val="003A6DA0"/>
    <w:rsid w:val="00406652"/>
    <w:rsid w:val="00521C88"/>
    <w:rsid w:val="0054534E"/>
    <w:rsid w:val="00572898"/>
    <w:rsid w:val="00590373"/>
    <w:rsid w:val="005B3552"/>
    <w:rsid w:val="005C1538"/>
    <w:rsid w:val="0060025E"/>
    <w:rsid w:val="00631209"/>
    <w:rsid w:val="0067033F"/>
    <w:rsid w:val="006828BC"/>
    <w:rsid w:val="006F5BAD"/>
    <w:rsid w:val="00741485"/>
    <w:rsid w:val="00776797"/>
    <w:rsid w:val="007A6AE8"/>
    <w:rsid w:val="00852B02"/>
    <w:rsid w:val="00856675"/>
    <w:rsid w:val="00861EE0"/>
    <w:rsid w:val="0087322C"/>
    <w:rsid w:val="008F5919"/>
    <w:rsid w:val="008F6C50"/>
    <w:rsid w:val="0092114F"/>
    <w:rsid w:val="00946B31"/>
    <w:rsid w:val="00962D89"/>
    <w:rsid w:val="0096476B"/>
    <w:rsid w:val="0098779F"/>
    <w:rsid w:val="00994369"/>
    <w:rsid w:val="009A037B"/>
    <w:rsid w:val="009B0751"/>
    <w:rsid w:val="009F6354"/>
    <w:rsid w:val="00A42D6D"/>
    <w:rsid w:val="00A80CAE"/>
    <w:rsid w:val="00A94AB3"/>
    <w:rsid w:val="00B813E5"/>
    <w:rsid w:val="00B927F7"/>
    <w:rsid w:val="00C118DD"/>
    <w:rsid w:val="00C36677"/>
    <w:rsid w:val="00C576A5"/>
    <w:rsid w:val="00C73375"/>
    <w:rsid w:val="00CB0CD6"/>
    <w:rsid w:val="00CB3112"/>
    <w:rsid w:val="00CE3B42"/>
    <w:rsid w:val="00D47294"/>
    <w:rsid w:val="00D53FA7"/>
    <w:rsid w:val="00E03916"/>
    <w:rsid w:val="00E20479"/>
    <w:rsid w:val="00E2263B"/>
    <w:rsid w:val="00E7707D"/>
    <w:rsid w:val="00E87CDE"/>
    <w:rsid w:val="00EC39B9"/>
    <w:rsid w:val="00EC3C7E"/>
    <w:rsid w:val="00F30F7A"/>
    <w:rsid w:val="00F50E3D"/>
    <w:rsid w:val="00F746FC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4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1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31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4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4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40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9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60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03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35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57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23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6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0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727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25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4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22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64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125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1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37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2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38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5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4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1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58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5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201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3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1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00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65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07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95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1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en/uksi/2015/541/regulation/8/made" TargetMode="External"/><Relationship Id="rId13" Type="http://schemas.openxmlformats.org/officeDocument/2006/relationships/hyperlink" Target="http://onrezume.org/Guides/Guide%20to%20the%20health%20and%20well-being%20standard.pdf" TargetMode="External"/><Relationship Id="rId18" Type="http://schemas.openxmlformats.org/officeDocument/2006/relationships/hyperlink" Target="http://www.legislation.gov.uk/anaw/2014/4/pdfs/anaw_20140004_en.pdf" TargetMode="External"/><Relationship Id="rId26" Type="http://schemas.openxmlformats.org/officeDocument/2006/relationships/hyperlink" Target="http://www.proceduresonline.com/brynmelyn/local%20keywords/placement_pla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egislation.gov.uk/wsi/2017/1264/regulation/33/made" TargetMode="External"/><Relationship Id="rId7" Type="http://schemas.openxmlformats.org/officeDocument/2006/relationships/hyperlink" Target="http://onrezume.org/Guides/Guide%20to%20the%20childrens%20views%2C%20wishes%20and%20feelings%20standard.pdf" TargetMode="External"/><Relationship Id="rId12" Type="http://schemas.openxmlformats.org/officeDocument/2006/relationships/hyperlink" Target="http://www.legislation.gov.uk/en/uksi/2015/541/regulation/10/made" TargetMode="External"/><Relationship Id="rId17" Type="http://schemas.openxmlformats.org/officeDocument/2006/relationships/hyperlink" Target="http://onrezume.org/Guides/Guide%20to%20the%20care%20planning%20standard.pdf" TargetMode="External"/><Relationship Id="rId25" Type="http://schemas.openxmlformats.org/officeDocument/2006/relationships/hyperlink" Target="http://www.proceduresonline.com/brynmelyn/chapters/g_ethni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en/uksi/2015/541/regulation/14/made" TargetMode="External"/><Relationship Id="rId20" Type="http://schemas.openxmlformats.org/officeDocument/2006/relationships/hyperlink" Target="https://www.legislation.gov.uk/wsi/2017/1264/regulation/25/ma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en/uksi/2015/541/regulation/7/made" TargetMode="External"/><Relationship Id="rId11" Type="http://schemas.openxmlformats.org/officeDocument/2006/relationships/hyperlink" Target="http://onrezume.org/Guides/Guide%20to%20the%20enjoyment%20and%20achievement%20standard.pdf" TargetMode="External"/><Relationship Id="rId24" Type="http://schemas.openxmlformats.org/officeDocument/2006/relationships/hyperlink" Target="http://www.proceduresonline.com/brynmelyn/chapters/g_ethni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rezume.org/Guides/Guide%20to%20the%20leadership%20and%20management%20standard.pdf" TargetMode="External"/><Relationship Id="rId23" Type="http://schemas.openxmlformats.org/officeDocument/2006/relationships/hyperlink" Target="https://gov.wales/topics/health/socialcare/well-being/?lang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en/uksi/2015/541/regulation/9/made" TargetMode="External"/><Relationship Id="rId19" Type="http://schemas.openxmlformats.org/officeDocument/2006/relationships/hyperlink" Target="https://www.legislation.gov.uk/wsi/2017/1264/regulation/21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rezume.org/Guides/Guide%20to%20the%20education%20standard.pdf" TargetMode="External"/><Relationship Id="rId14" Type="http://schemas.openxmlformats.org/officeDocument/2006/relationships/hyperlink" Target="http://www.legislation.gov.uk/en/uksi/2015/541/regulation/13/made" TargetMode="External"/><Relationship Id="rId22" Type="http://schemas.openxmlformats.org/officeDocument/2006/relationships/hyperlink" Target="https://www.legislation.gov.uk/wsi/2017/1264/regulation/34/made" TargetMode="External"/><Relationship Id="rId27" Type="http://schemas.openxmlformats.org/officeDocument/2006/relationships/hyperlink" Target="http://www.proceduresonline.com/brynmelyn/chapters/p_nutr_diet_me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O'Donnell</dc:creator>
  <cp:lastModifiedBy>Nicole Carter</cp:lastModifiedBy>
  <cp:revision>5</cp:revision>
  <dcterms:created xsi:type="dcterms:W3CDTF">2018-10-01T15:42:00Z</dcterms:created>
  <dcterms:modified xsi:type="dcterms:W3CDTF">2018-12-05T10:55:00Z</dcterms:modified>
</cp:coreProperties>
</file>