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3B" w:rsidRDefault="008D4B3B" w:rsidP="008D4B3B">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bookmarkStart w:id="0" w:name="top"/>
      <w:bookmarkEnd w:id="0"/>
      <w:r w:rsidRPr="004266BA">
        <w:rPr>
          <w:rFonts w:ascii="Arial" w:eastAsia="Times New Roman" w:hAnsi="Arial" w:cs="Arial"/>
          <w:b/>
          <w:bCs/>
          <w:kern w:val="36"/>
          <w:sz w:val="24"/>
          <w:szCs w:val="24"/>
          <w:lang w:eastAsia="en-GB"/>
        </w:rPr>
        <w:t>1.14.15 Harmful Sexual Behaviour (HSB) Policy</w:t>
      </w:r>
    </w:p>
    <w:p w:rsidR="008D4B3B" w:rsidRDefault="008D4B3B" w:rsidP="001636DA">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p>
    <w:p w:rsidR="001636DA" w:rsidRPr="00EB5E73"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EB5E73">
        <w:rPr>
          <w:rFonts w:ascii="Arial" w:eastAsia="Times New Roman" w:hAnsi="Arial" w:cs="Arial"/>
          <w:b/>
          <w:bCs/>
          <w:sz w:val="24"/>
          <w:szCs w:val="20"/>
          <w:lang w:eastAsia="en-GB"/>
        </w:rPr>
        <w:t>Contents</w:t>
      </w:r>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8" w:anchor="purpose_pol" w:history="1">
        <w:r w:rsidR="001636DA" w:rsidRPr="004266BA">
          <w:rPr>
            <w:rFonts w:ascii="Arial" w:eastAsia="Times New Roman" w:hAnsi="Arial" w:cs="Arial"/>
            <w:b/>
            <w:bCs/>
            <w:sz w:val="20"/>
            <w:szCs w:val="20"/>
            <w:u w:val="single"/>
            <w:lang w:eastAsia="en-GB"/>
          </w:rPr>
          <w:t>Purpose of Policy</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9" w:anchor="term" w:history="1">
        <w:r w:rsidR="001636DA" w:rsidRPr="004266BA">
          <w:rPr>
            <w:rFonts w:ascii="Arial" w:eastAsia="Times New Roman" w:hAnsi="Arial" w:cs="Arial"/>
            <w:b/>
            <w:bCs/>
            <w:sz w:val="20"/>
            <w:szCs w:val="20"/>
            <w:u w:val="single"/>
            <w:lang w:eastAsia="en-GB"/>
          </w:rPr>
          <w:t>Terminology and Definitions</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0" w:anchor="bg" w:history="1">
        <w:r w:rsidR="001636DA" w:rsidRPr="004266BA">
          <w:rPr>
            <w:rFonts w:ascii="Arial" w:eastAsia="Times New Roman" w:hAnsi="Arial" w:cs="Arial"/>
            <w:b/>
            <w:bCs/>
            <w:sz w:val="20"/>
            <w:szCs w:val="20"/>
            <w:u w:val="single"/>
            <w:lang w:eastAsia="en-GB"/>
          </w:rPr>
          <w:t>Background Information</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1" w:anchor="roles" w:history="1">
        <w:r w:rsidR="001636DA" w:rsidRPr="004266BA">
          <w:rPr>
            <w:rFonts w:ascii="Arial" w:eastAsia="Times New Roman" w:hAnsi="Arial" w:cs="Arial"/>
            <w:b/>
            <w:bCs/>
            <w:sz w:val="20"/>
            <w:szCs w:val="20"/>
            <w:u w:val="single"/>
            <w:lang w:eastAsia="en-GB"/>
          </w:rPr>
          <w:t>Roles and Responsibilities</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2" w:anchor="assessment" w:history="1">
        <w:r w:rsidR="001636DA" w:rsidRPr="004266BA">
          <w:rPr>
            <w:rFonts w:ascii="Arial" w:eastAsia="Times New Roman" w:hAnsi="Arial" w:cs="Arial"/>
            <w:b/>
            <w:bCs/>
            <w:sz w:val="20"/>
            <w:szCs w:val="20"/>
            <w:u w:val="single"/>
            <w:lang w:eastAsia="en-GB"/>
          </w:rPr>
          <w:t>Assessment</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3" w:anchor="interv" w:history="1">
        <w:r w:rsidR="001636DA" w:rsidRPr="004266BA">
          <w:rPr>
            <w:rFonts w:ascii="Arial" w:eastAsia="Times New Roman" w:hAnsi="Arial" w:cs="Arial"/>
            <w:b/>
            <w:bCs/>
            <w:sz w:val="20"/>
            <w:szCs w:val="20"/>
            <w:u w:val="single"/>
            <w:lang w:eastAsia="en-GB"/>
          </w:rPr>
          <w:t>Interventions</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4" w:anchor="additional" w:history="1">
        <w:r w:rsidR="001636DA" w:rsidRPr="004266BA">
          <w:rPr>
            <w:rFonts w:ascii="Arial" w:eastAsia="Times New Roman" w:hAnsi="Arial" w:cs="Arial"/>
            <w:b/>
            <w:bCs/>
            <w:sz w:val="20"/>
            <w:szCs w:val="20"/>
            <w:u w:val="single"/>
            <w:lang w:eastAsia="en-GB"/>
          </w:rPr>
          <w:t>Additional Support</w:t>
        </w:r>
      </w:hyperlink>
    </w:p>
    <w:p w:rsidR="001636DA" w:rsidRPr="004266BA" w:rsidRDefault="008D4B3B" w:rsidP="001636DA">
      <w:pPr>
        <w:numPr>
          <w:ilvl w:val="0"/>
          <w:numId w:val="30"/>
        </w:numPr>
        <w:spacing w:before="192" w:after="192" w:line="240" w:lineRule="auto"/>
        <w:rPr>
          <w:rFonts w:ascii="Arial" w:eastAsia="Times New Roman" w:hAnsi="Arial" w:cs="Arial"/>
          <w:sz w:val="20"/>
          <w:szCs w:val="20"/>
          <w:lang w:eastAsia="en-GB"/>
        </w:rPr>
      </w:pPr>
      <w:hyperlink r:id="rId15" w:anchor="national" w:history="1">
        <w:r w:rsidR="001636DA" w:rsidRPr="004266BA">
          <w:rPr>
            <w:rFonts w:ascii="Arial" w:eastAsia="Times New Roman" w:hAnsi="Arial" w:cs="Arial"/>
            <w:b/>
            <w:bCs/>
            <w:sz w:val="20"/>
            <w:szCs w:val="20"/>
            <w:u w:val="single"/>
            <w:lang w:eastAsia="en-GB"/>
          </w:rPr>
          <w:t>National Guidance</w:t>
        </w:r>
      </w:hyperlink>
    </w:p>
    <w:p w:rsidR="001636DA" w:rsidRPr="00043DFC" w:rsidRDefault="008D4B3B" w:rsidP="001636DA">
      <w:pPr>
        <w:numPr>
          <w:ilvl w:val="0"/>
          <w:numId w:val="30"/>
        </w:numPr>
        <w:spacing w:before="192" w:after="192" w:line="240" w:lineRule="auto"/>
        <w:rPr>
          <w:rFonts w:ascii="Arial" w:eastAsia="Times New Roman" w:hAnsi="Arial" w:cs="Arial"/>
          <w:sz w:val="20"/>
          <w:szCs w:val="20"/>
          <w:lang w:eastAsia="en-GB"/>
        </w:rPr>
      </w:pPr>
      <w:hyperlink r:id="rId16" w:anchor="links" w:history="1">
        <w:r w:rsidR="001636DA" w:rsidRPr="004266BA">
          <w:rPr>
            <w:rFonts w:ascii="Arial" w:eastAsia="Times New Roman" w:hAnsi="Arial" w:cs="Arial"/>
            <w:b/>
            <w:bCs/>
            <w:sz w:val="20"/>
            <w:szCs w:val="20"/>
            <w:u w:val="single"/>
            <w:lang w:eastAsia="en-GB"/>
          </w:rPr>
          <w:t>Useful Links</w:t>
        </w:r>
      </w:hyperlink>
    </w:p>
    <w:p w:rsidR="00043DFC" w:rsidRDefault="00043DFC" w:rsidP="00043DFC">
      <w:pPr>
        <w:spacing w:before="192" w:after="192" w:line="240" w:lineRule="auto"/>
        <w:rPr>
          <w:rFonts w:ascii="Arial" w:eastAsia="Times New Roman" w:hAnsi="Arial" w:cs="Arial"/>
          <w:b/>
          <w:bCs/>
          <w:sz w:val="20"/>
          <w:szCs w:val="20"/>
          <w:u w:val="single"/>
          <w:lang w:eastAsia="en-GB"/>
        </w:rPr>
      </w:pPr>
    </w:p>
    <w:p w:rsidR="00043DFC" w:rsidRPr="00EB5E73" w:rsidRDefault="00043DFC" w:rsidP="00043DFC">
      <w:pPr>
        <w:spacing w:before="192" w:after="192" w:line="240" w:lineRule="auto"/>
        <w:rPr>
          <w:rFonts w:ascii="Arial" w:eastAsia="Times New Roman" w:hAnsi="Arial" w:cs="Arial"/>
          <w:b/>
          <w:bCs/>
          <w:sz w:val="20"/>
          <w:szCs w:val="20"/>
          <w:lang w:eastAsia="en-GB"/>
        </w:rPr>
      </w:pPr>
      <w:r w:rsidRPr="00EB5E73">
        <w:rPr>
          <w:rFonts w:ascii="Arial" w:eastAsia="Times New Roman" w:hAnsi="Arial" w:cs="Arial"/>
          <w:b/>
          <w:bCs/>
          <w:sz w:val="20"/>
          <w:szCs w:val="20"/>
          <w:lang w:eastAsia="en-GB"/>
        </w:rPr>
        <w:t>Regulations and Standards</w:t>
      </w:r>
    </w:p>
    <w:p w:rsidR="00043DFC" w:rsidRPr="00EB5E73" w:rsidRDefault="00043DFC" w:rsidP="00043DFC">
      <w:pPr>
        <w:spacing w:before="192" w:after="192" w:line="240" w:lineRule="auto"/>
        <w:rPr>
          <w:rFonts w:ascii="Arial" w:eastAsia="Times New Roman" w:hAnsi="Arial" w:cs="Arial"/>
          <w:b/>
          <w:bCs/>
          <w:sz w:val="20"/>
          <w:szCs w:val="20"/>
          <w:lang w:val="en-US" w:eastAsia="en-GB"/>
        </w:rPr>
      </w:pPr>
      <w:r w:rsidRPr="00EB5E73">
        <w:rPr>
          <w:rFonts w:ascii="Arial" w:eastAsia="Times New Roman" w:hAnsi="Arial" w:cs="Arial"/>
          <w:b/>
          <w:bCs/>
          <w:sz w:val="20"/>
          <w:szCs w:val="20"/>
          <w:lang w:val="en-US" w:eastAsia="en-GB"/>
        </w:rPr>
        <w:t>England</w:t>
      </w:r>
    </w:p>
    <w:p w:rsidR="00043DFC" w:rsidRDefault="00043DFC" w:rsidP="00043DFC">
      <w:pPr>
        <w:pStyle w:val="ListParagraph"/>
        <w:spacing w:before="192" w:after="192" w:line="240" w:lineRule="auto"/>
        <w:rPr>
          <w:rFonts w:ascii="Arial" w:eastAsia="Times New Roman" w:hAnsi="Arial" w:cs="Arial"/>
          <w:b/>
          <w:bCs/>
          <w:sz w:val="20"/>
          <w:szCs w:val="20"/>
          <w:u w:val="single"/>
          <w:lang w:val="en-US" w:eastAsia="en-GB"/>
        </w:rPr>
      </w:pPr>
    </w:p>
    <w:p w:rsidR="00043DFC" w:rsidRPr="00043DFC" w:rsidRDefault="008D4B3B" w:rsidP="00043DFC">
      <w:pPr>
        <w:pStyle w:val="ListParagraph"/>
        <w:numPr>
          <w:ilvl w:val="0"/>
          <w:numId w:val="42"/>
        </w:numPr>
        <w:spacing w:before="192" w:after="192" w:line="240" w:lineRule="auto"/>
        <w:rPr>
          <w:rFonts w:ascii="Arial" w:eastAsia="Times New Roman" w:hAnsi="Arial" w:cs="Arial"/>
          <w:b/>
          <w:bCs/>
          <w:color w:val="002060"/>
          <w:sz w:val="20"/>
          <w:szCs w:val="20"/>
          <w:u w:val="single"/>
          <w:lang w:val="en-US" w:eastAsia="en-GB"/>
        </w:rPr>
      </w:pPr>
      <w:hyperlink r:id="rId17" w:history="1">
        <w:r w:rsidR="00043DFC" w:rsidRPr="00043DFC">
          <w:rPr>
            <w:rStyle w:val="Hyperlink"/>
            <w:rFonts w:ascii="Arial" w:eastAsia="Times New Roman" w:hAnsi="Arial" w:cs="Arial"/>
            <w:b/>
            <w:bCs/>
            <w:color w:val="002060"/>
            <w:sz w:val="20"/>
            <w:szCs w:val="20"/>
            <w:lang w:val="en-US" w:eastAsia="en-GB"/>
          </w:rPr>
          <w:t>Regulation 12: The protection of children standard</w:t>
        </w:r>
      </w:hyperlink>
    </w:p>
    <w:p w:rsidR="00043DFC" w:rsidRPr="00043DFC" w:rsidRDefault="008D4B3B" w:rsidP="00043DFC">
      <w:pPr>
        <w:pStyle w:val="ListParagraph"/>
        <w:spacing w:before="192" w:after="192" w:line="240" w:lineRule="auto"/>
        <w:rPr>
          <w:rFonts w:ascii="Arial" w:eastAsia="Times New Roman" w:hAnsi="Arial" w:cs="Arial"/>
          <w:b/>
          <w:bCs/>
          <w:color w:val="002060"/>
          <w:sz w:val="20"/>
          <w:szCs w:val="20"/>
          <w:u w:val="single"/>
          <w:lang w:val="en-US" w:eastAsia="en-GB"/>
        </w:rPr>
      </w:pPr>
      <w:hyperlink r:id="rId18" w:history="1">
        <w:r w:rsidR="00043DFC" w:rsidRPr="00043DFC">
          <w:rPr>
            <w:rStyle w:val="Hyperlink"/>
            <w:rFonts w:ascii="Arial" w:eastAsia="Times New Roman" w:hAnsi="Arial" w:cs="Arial"/>
            <w:b/>
            <w:bCs/>
            <w:color w:val="002060"/>
            <w:sz w:val="20"/>
            <w:szCs w:val="20"/>
            <w:lang w:val="en-US" w:eastAsia="en-GB"/>
          </w:rPr>
          <w:t>Guide to the protection of children standard</w:t>
        </w:r>
      </w:hyperlink>
    </w:p>
    <w:p w:rsidR="00043DFC" w:rsidRDefault="00043DFC" w:rsidP="00043DFC">
      <w:pPr>
        <w:spacing w:before="192" w:after="192" w:line="240" w:lineRule="auto"/>
        <w:rPr>
          <w:rFonts w:ascii="Arial" w:eastAsia="Times New Roman" w:hAnsi="Arial" w:cs="Arial"/>
          <w:b/>
          <w:bCs/>
          <w:sz w:val="20"/>
          <w:szCs w:val="20"/>
          <w:u w:val="single"/>
          <w:lang w:val="en-US" w:eastAsia="en-GB"/>
        </w:rPr>
      </w:pPr>
    </w:p>
    <w:p w:rsidR="00043DFC" w:rsidRPr="00EB5E73" w:rsidRDefault="00043DFC" w:rsidP="00043DFC">
      <w:pPr>
        <w:spacing w:before="192" w:after="192" w:line="240" w:lineRule="auto"/>
        <w:rPr>
          <w:rFonts w:ascii="Arial" w:eastAsia="Times New Roman" w:hAnsi="Arial" w:cs="Arial"/>
          <w:b/>
          <w:bCs/>
          <w:sz w:val="20"/>
          <w:szCs w:val="20"/>
          <w:lang w:val="en-US" w:eastAsia="en-GB"/>
        </w:rPr>
      </w:pPr>
      <w:r w:rsidRPr="00EB5E73">
        <w:rPr>
          <w:rFonts w:ascii="Arial" w:eastAsia="Times New Roman" w:hAnsi="Arial" w:cs="Arial"/>
          <w:b/>
          <w:bCs/>
          <w:sz w:val="20"/>
          <w:szCs w:val="20"/>
          <w:lang w:val="en-US" w:eastAsia="en-GB"/>
        </w:rPr>
        <w:t>Wales</w:t>
      </w:r>
    </w:p>
    <w:p w:rsidR="00043DFC" w:rsidRPr="00043DFC" w:rsidRDefault="00043DFC" w:rsidP="00043DFC">
      <w:pPr>
        <w:pStyle w:val="ListParagraph"/>
        <w:numPr>
          <w:ilvl w:val="0"/>
          <w:numId w:val="43"/>
        </w:numPr>
        <w:spacing w:before="192" w:after="192" w:line="240" w:lineRule="auto"/>
        <w:rPr>
          <w:rFonts w:ascii="Arial" w:eastAsia="Times New Roman" w:hAnsi="Arial" w:cs="Arial"/>
          <w:b/>
          <w:bCs/>
          <w:color w:val="002060"/>
          <w:sz w:val="20"/>
          <w:szCs w:val="20"/>
          <w:u w:val="single"/>
          <w:lang w:val="en-US" w:eastAsia="en-GB"/>
        </w:rPr>
      </w:pPr>
      <w:r w:rsidRPr="00043DFC">
        <w:rPr>
          <w:rFonts w:ascii="Arial" w:eastAsia="Times New Roman" w:hAnsi="Arial" w:cs="Arial"/>
          <w:b/>
          <w:bCs/>
          <w:color w:val="002060"/>
          <w:sz w:val="20"/>
          <w:szCs w:val="20"/>
          <w:u w:val="single"/>
          <w:lang w:val="en-US" w:eastAsia="en-GB"/>
        </w:rPr>
        <w:t xml:space="preserve">Regulation 15: Personal plan </w:t>
      </w:r>
      <w:hyperlink r:id="rId19" w:history="1">
        <w:r w:rsidRPr="00043DFC">
          <w:rPr>
            <w:rStyle w:val="Hyperlink"/>
            <w:rFonts w:ascii="Arial" w:eastAsia="Times New Roman" w:hAnsi="Arial" w:cs="Arial"/>
            <w:b/>
            <w:bCs/>
            <w:color w:val="002060"/>
            <w:sz w:val="20"/>
            <w:szCs w:val="20"/>
            <w:lang w:val="en-US" w:eastAsia="en-GB"/>
          </w:rPr>
          <w:t>https://www.legislation.gov.uk/wsi/2017/1264/regulation/15/made</w:t>
        </w:r>
      </w:hyperlink>
      <w:r w:rsidRPr="00043DFC">
        <w:rPr>
          <w:rFonts w:ascii="Arial" w:eastAsia="Times New Roman" w:hAnsi="Arial" w:cs="Arial"/>
          <w:b/>
          <w:bCs/>
          <w:color w:val="002060"/>
          <w:sz w:val="20"/>
          <w:szCs w:val="20"/>
          <w:u w:val="single"/>
          <w:lang w:val="en-US" w:eastAsia="en-GB"/>
        </w:rPr>
        <w:t xml:space="preserve"> </w:t>
      </w:r>
    </w:p>
    <w:p w:rsidR="00043DFC" w:rsidRPr="00043DFC" w:rsidRDefault="00043DFC" w:rsidP="00043DFC">
      <w:pPr>
        <w:pStyle w:val="ListParagraph"/>
        <w:numPr>
          <w:ilvl w:val="0"/>
          <w:numId w:val="43"/>
        </w:numPr>
        <w:spacing w:before="192" w:after="192" w:line="240" w:lineRule="auto"/>
        <w:rPr>
          <w:rFonts w:ascii="Arial" w:eastAsia="Times New Roman" w:hAnsi="Arial" w:cs="Arial"/>
          <w:b/>
          <w:bCs/>
          <w:color w:val="002060"/>
          <w:sz w:val="20"/>
          <w:szCs w:val="20"/>
          <w:u w:val="single"/>
          <w:lang w:val="en-US" w:eastAsia="en-GB"/>
        </w:rPr>
      </w:pPr>
      <w:r w:rsidRPr="00043DFC">
        <w:rPr>
          <w:rFonts w:ascii="Arial" w:eastAsia="Times New Roman" w:hAnsi="Arial" w:cs="Arial"/>
          <w:b/>
          <w:bCs/>
          <w:color w:val="002060"/>
          <w:sz w:val="20"/>
          <w:szCs w:val="20"/>
          <w:u w:val="single"/>
          <w:lang w:val="en-US" w:eastAsia="en-GB"/>
        </w:rPr>
        <w:t xml:space="preserve">Regulation 27: Safeguarding policies and procedures </w:t>
      </w:r>
      <w:hyperlink r:id="rId20" w:history="1">
        <w:r w:rsidRPr="00043DFC">
          <w:rPr>
            <w:rStyle w:val="Hyperlink"/>
            <w:rFonts w:ascii="Arial" w:eastAsia="Times New Roman" w:hAnsi="Arial" w:cs="Arial"/>
            <w:b/>
            <w:bCs/>
            <w:color w:val="002060"/>
            <w:sz w:val="20"/>
            <w:szCs w:val="20"/>
            <w:lang w:val="en-US" w:eastAsia="en-GB"/>
          </w:rPr>
          <w:t>https://www.legislation.gov.uk/wsi/2017/1264/regulation/27/made</w:t>
        </w:r>
      </w:hyperlink>
    </w:p>
    <w:p w:rsidR="00043DFC" w:rsidRPr="00043DFC" w:rsidRDefault="00043DFC" w:rsidP="00043DFC">
      <w:pPr>
        <w:pStyle w:val="ListParagraph"/>
        <w:numPr>
          <w:ilvl w:val="0"/>
          <w:numId w:val="43"/>
        </w:numPr>
        <w:spacing w:before="192" w:after="192" w:line="240" w:lineRule="auto"/>
        <w:rPr>
          <w:rFonts w:ascii="Arial" w:eastAsia="Times New Roman" w:hAnsi="Arial" w:cs="Arial"/>
          <w:b/>
          <w:bCs/>
          <w:color w:val="002060"/>
          <w:sz w:val="20"/>
          <w:szCs w:val="20"/>
          <w:u w:val="single"/>
          <w:lang w:val="en-US" w:eastAsia="en-GB"/>
        </w:rPr>
      </w:pPr>
      <w:r w:rsidRPr="00043DFC">
        <w:rPr>
          <w:rFonts w:ascii="Arial" w:eastAsia="Times New Roman" w:hAnsi="Arial" w:cs="Arial"/>
          <w:b/>
          <w:bCs/>
          <w:color w:val="002060"/>
          <w:sz w:val="20"/>
          <w:szCs w:val="20"/>
          <w:u w:val="single"/>
          <w:lang w:val="en-US" w:eastAsia="en-GB"/>
        </w:rPr>
        <w:t>Regulation 36: Supporting and developing staff https://www.legislation.gov.uk/wsi/2017/1264/regulation/36/made</w:t>
      </w:r>
    </w:p>
    <w:p w:rsidR="00043DFC" w:rsidRPr="00043DFC" w:rsidRDefault="00043DFC" w:rsidP="00043DFC">
      <w:pPr>
        <w:spacing w:before="192" w:after="192" w:line="240" w:lineRule="auto"/>
        <w:rPr>
          <w:rFonts w:ascii="Arial" w:eastAsia="Times New Roman" w:hAnsi="Arial" w:cs="Arial"/>
          <w:b/>
          <w:bCs/>
          <w:sz w:val="20"/>
          <w:szCs w:val="20"/>
          <w:u w:val="single"/>
          <w:lang w:val="en-US" w:eastAsia="en-GB"/>
        </w:rPr>
      </w:pPr>
    </w:p>
    <w:p w:rsidR="001636DA" w:rsidRPr="00EB5E73"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EB5E73">
        <w:rPr>
          <w:rFonts w:ascii="Arial" w:eastAsia="Times New Roman" w:hAnsi="Arial" w:cs="Arial"/>
          <w:b/>
          <w:bCs/>
          <w:sz w:val="24"/>
          <w:szCs w:val="20"/>
          <w:lang w:eastAsia="en-GB"/>
        </w:rPr>
        <w:t>1. </w:t>
      </w:r>
      <w:bookmarkStart w:id="1" w:name="purpose_pol"/>
      <w:bookmarkEnd w:id="1"/>
      <w:r w:rsidRPr="00EB5E73">
        <w:rPr>
          <w:rFonts w:ascii="Arial" w:eastAsia="Times New Roman" w:hAnsi="Arial" w:cs="Arial"/>
          <w:b/>
          <w:bCs/>
          <w:sz w:val="24"/>
          <w:szCs w:val="20"/>
          <w:lang w:eastAsia="en-GB"/>
        </w:rPr>
        <w:t>Purpose of Policy</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This policy aims to guide the assessment, intervention and care for young people who have harmful or problematic sexual behaviours. This includes:</w:t>
      </w:r>
    </w:p>
    <w:p w:rsidR="001636DA" w:rsidRPr="004266BA" w:rsidRDefault="001636DA" w:rsidP="001636DA">
      <w:pPr>
        <w:numPr>
          <w:ilvl w:val="0"/>
          <w:numId w:val="31"/>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Review of national policy and research into harmful sexual behaviours perpetrated by young people;</w:t>
      </w:r>
    </w:p>
    <w:p w:rsidR="001636DA" w:rsidRPr="004266BA" w:rsidRDefault="001636DA" w:rsidP="001636DA">
      <w:pPr>
        <w:numPr>
          <w:ilvl w:val="0"/>
          <w:numId w:val="31"/>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Developing a framework where risk is acknowledged and plans are developed to manage risk effectively;</w:t>
      </w:r>
    </w:p>
    <w:p w:rsidR="001636DA" w:rsidRPr="004266BA" w:rsidRDefault="001636DA" w:rsidP="001636DA">
      <w:pPr>
        <w:numPr>
          <w:ilvl w:val="0"/>
          <w:numId w:val="31"/>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Considerations for placement within a group home setting/ Education provision;</w:t>
      </w:r>
    </w:p>
    <w:p w:rsidR="001636DA" w:rsidRPr="004266BA" w:rsidRDefault="001636DA" w:rsidP="001636DA">
      <w:pPr>
        <w:numPr>
          <w:ilvl w:val="0"/>
          <w:numId w:val="31"/>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lastRenderedPageBreak/>
        <w:t>How to support staff members who work with young people who exhibit harmful sexual behaviour;</w:t>
      </w:r>
    </w:p>
    <w:p w:rsidR="001636DA" w:rsidRPr="004266BA" w:rsidRDefault="001636DA" w:rsidP="001636DA">
      <w:pPr>
        <w:numPr>
          <w:ilvl w:val="0"/>
          <w:numId w:val="31"/>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Working within a multi-agency framework.</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1.2 Who was consulted in the writing of this policy?</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Young people, care staff, teaching staff, clinical staff, and local youth offending teams.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1.3 What other policies does this relate to?</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1" w:history="1">
        <w:r w:rsidR="001636DA" w:rsidRPr="004266BA">
          <w:rPr>
            <w:rFonts w:ascii="Arial" w:eastAsia="Times New Roman" w:hAnsi="Arial" w:cs="Arial"/>
            <w:b/>
            <w:bCs/>
            <w:sz w:val="20"/>
            <w:szCs w:val="20"/>
            <w:u w:val="single"/>
            <w:lang w:eastAsia="en-GB"/>
          </w:rPr>
          <w:t>Admissions Policy and Procedure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2" w:tooltip="3.1.2" w:history="1">
        <w:r w:rsidR="001636DA" w:rsidRPr="004266BA">
          <w:rPr>
            <w:rFonts w:ascii="Arial" w:eastAsia="Times New Roman" w:hAnsi="Arial" w:cs="Arial"/>
            <w:b/>
            <w:bCs/>
            <w:sz w:val="20"/>
            <w:szCs w:val="20"/>
            <w:u w:val="single"/>
            <w:lang w:eastAsia="en-GB"/>
          </w:rPr>
          <w:t>Managing Behaviours Policy</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3" w:history="1">
        <w:r w:rsidR="001636DA" w:rsidRPr="004266BA">
          <w:rPr>
            <w:rFonts w:ascii="Arial" w:eastAsia="Times New Roman" w:hAnsi="Arial" w:cs="Arial"/>
            <w:b/>
            <w:bCs/>
            <w:sz w:val="20"/>
            <w:szCs w:val="20"/>
            <w:u w:val="single"/>
            <w:lang w:eastAsia="en-GB"/>
          </w:rPr>
          <w:t>Clinical Consultation Policy</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4" w:history="1">
        <w:r w:rsidR="001636DA" w:rsidRPr="004266BA">
          <w:rPr>
            <w:rFonts w:ascii="Arial" w:eastAsia="Times New Roman" w:hAnsi="Arial" w:cs="Arial"/>
            <w:b/>
            <w:bCs/>
            <w:sz w:val="20"/>
            <w:szCs w:val="20"/>
            <w:u w:val="single"/>
            <w:lang w:eastAsia="en-GB"/>
          </w:rPr>
          <w:t>Therapy Engagement Policy</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5" w:tooltip="1.9.7" w:history="1">
        <w:r w:rsidR="001636DA" w:rsidRPr="004266BA">
          <w:rPr>
            <w:rFonts w:ascii="Arial" w:eastAsia="Times New Roman" w:hAnsi="Arial" w:cs="Arial"/>
            <w:b/>
            <w:bCs/>
            <w:sz w:val="20"/>
            <w:szCs w:val="20"/>
            <w:u w:val="single"/>
            <w:lang w:eastAsia="en-GB"/>
          </w:rPr>
          <w:t>Sexual Health and Relationships Procedure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6" w:tooltip="1.10.4" w:history="1">
        <w:r w:rsidR="001636DA" w:rsidRPr="004266BA">
          <w:rPr>
            <w:rFonts w:ascii="Arial" w:eastAsia="Times New Roman" w:hAnsi="Arial" w:cs="Arial"/>
            <w:b/>
            <w:bCs/>
            <w:sz w:val="20"/>
            <w:szCs w:val="20"/>
            <w:u w:val="single"/>
            <w:lang w:eastAsia="en-GB"/>
          </w:rPr>
          <w:t>Offending and Anti-Social Behaviour – Guidance on when to Involve the Police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7" w:tooltip="1.10.5" w:history="1">
        <w:r w:rsidR="001636DA" w:rsidRPr="004266BA">
          <w:rPr>
            <w:rFonts w:ascii="Arial" w:eastAsia="Times New Roman" w:hAnsi="Arial" w:cs="Arial"/>
            <w:b/>
            <w:bCs/>
            <w:sz w:val="20"/>
            <w:szCs w:val="20"/>
            <w:u w:val="single"/>
            <w:lang w:eastAsia="en-GB"/>
          </w:rPr>
          <w:t>Delegated Authorities and Notifiable Events Procedure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8" w:tooltip="1.13.3" w:history="1">
        <w:r w:rsidR="001636DA" w:rsidRPr="004266BA">
          <w:rPr>
            <w:rFonts w:ascii="Arial" w:eastAsia="Times New Roman" w:hAnsi="Arial" w:cs="Arial"/>
            <w:b/>
            <w:bCs/>
            <w:sz w:val="20"/>
            <w:szCs w:val="20"/>
            <w:u w:val="single"/>
            <w:lang w:eastAsia="en-GB"/>
          </w:rPr>
          <w:t>Children's Bedrooms Procedure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29" w:tooltip="1.14.1" w:history="1">
        <w:r w:rsidR="001636DA" w:rsidRPr="004266BA">
          <w:rPr>
            <w:rFonts w:ascii="Arial" w:eastAsia="Times New Roman" w:hAnsi="Arial" w:cs="Arial"/>
            <w:b/>
            <w:bCs/>
            <w:sz w:val="20"/>
            <w:szCs w:val="20"/>
            <w:u w:val="single"/>
            <w:lang w:eastAsia="en-GB"/>
          </w:rPr>
          <w:t>Child and Adult Protection Procedure</w:t>
        </w:r>
      </w:hyperlink>
      <w:r w:rsidR="001636DA" w:rsidRPr="004266BA">
        <w:rPr>
          <w:rFonts w:ascii="Arial" w:eastAsia="Times New Roman" w:hAnsi="Arial" w:cs="Arial"/>
          <w:sz w:val="20"/>
          <w:szCs w:val="20"/>
          <w:lang w:eastAsia="en-GB"/>
        </w:rPr>
        <w:t>;</w:t>
      </w:r>
    </w:p>
    <w:p w:rsidR="001636DA" w:rsidRPr="004266BA" w:rsidRDefault="008D4B3B" w:rsidP="001636DA">
      <w:pPr>
        <w:numPr>
          <w:ilvl w:val="0"/>
          <w:numId w:val="32"/>
        </w:numPr>
        <w:spacing w:before="192" w:after="192" w:line="240" w:lineRule="auto"/>
        <w:rPr>
          <w:rFonts w:ascii="Arial" w:eastAsia="Times New Roman" w:hAnsi="Arial" w:cs="Arial"/>
          <w:sz w:val="20"/>
          <w:szCs w:val="20"/>
          <w:lang w:eastAsia="en-GB"/>
        </w:rPr>
      </w:pPr>
      <w:hyperlink r:id="rId30" w:history="1">
        <w:r w:rsidR="001636DA" w:rsidRPr="004266BA">
          <w:rPr>
            <w:rFonts w:ascii="Arial" w:eastAsia="Times New Roman" w:hAnsi="Arial" w:cs="Arial"/>
            <w:b/>
            <w:bCs/>
            <w:sz w:val="20"/>
            <w:szCs w:val="20"/>
            <w:u w:val="single"/>
            <w:lang w:eastAsia="en-GB"/>
          </w:rPr>
          <w:t>Child Sexual Exploitation Policy Statement</w:t>
        </w:r>
      </w:hyperlink>
      <w:r w:rsidR="001636DA" w:rsidRPr="004266BA">
        <w:rPr>
          <w:rFonts w:ascii="Arial" w:eastAsia="Times New Roman" w:hAnsi="Arial" w:cs="Arial"/>
          <w:sz w:val="20"/>
          <w:szCs w:val="20"/>
          <w:lang w:eastAsia="en-GB"/>
        </w:rPr>
        <w:t>.</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br/>
      </w:r>
      <w:r w:rsidRPr="00EB5E73">
        <w:rPr>
          <w:rFonts w:ascii="Arial" w:eastAsia="Times New Roman" w:hAnsi="Arial" w:cs="Arial"/>
          <w:b/>
          <w:bCs/>
          <w:sz w:val="24"/>
          <w:szCs w:val="20"/>
          <w:lang w:eastAsia="en-GB"/>
        </w:rPr>
        <w:t>2. </w:t>
      </w:r>
      <w:bookmarkStart w:id="2" w:name="term"/>
      <w:bookmarkEnd w:id="2"/>
      <w:r w:rsidRPr="00EB5E73">
        <w:rPr>
          <w:rFonts w:ascii="Arial" w:eastAsia="Times New Roman" w:hAnsi="Arial" w:cs="Arial"/>
          <w:b/>
          <w:bCs/>
          <w:sz w:val="24"/>
          <w:szCs w:val="20"/>
          <w:lang w:eastAsia="en-GB"/>
        </w:rPr>
        <w:t>Terminology and Definitions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b/>
          <w:bCs/>
          <w:sz w:val="20"/>
          <w:szCs w:val="20"/>
          <w:lang w:eastAsia="en-GB"/>
        </w:rPr>
        <w:t>Harmful sexual behaviour (HSB)</w:t>
      </w:r>
      <w:r w:rsidRPr="004266BA">
        <w:rPr>
          <w:rFonts w:ascii="Arial" w:eastAsia="Times New Roman" w:hAnsi="Arial" w:cs="Arial"/>
          <w:sz w:val="20"/>
          <w:szCs w:val="20"/>
          <w:lang w:eastAsia="en-GB"/>
        </w:rPr>
        <w:t> is defined as one or more children engaging in sexual discussions or acts that are inappropriate for their age or stage of development. These can range from using sexually explicit words and phrases to full penetrative sex with other children or adults (Rich, 2011). This definition is utilised by the National Society for the Prevention of Cruelty to Children (NSPCC).</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It covers a range of behaviours including the following [1]</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Sexual penetration;</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Touching parts of the body;</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Exposure of sexual organs;</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Intrusive observations;</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Stealing underwear;</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Masturbating into another’s clothes;</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Obscene communication (such as obscene messages, sexual harassment or denigration);</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Accessing child pornography or showing pornographic material;</w:t>
      </w:r>
    </w:p>
    <w:p w:rsidR="001636DA" w:rsidRPr="004266BA" w:rsidRDefault="001636DA" w:rsidP="001636DA">
      <w:pPr>
        <w:numPr>
          <w:ilvl w:val="0"/>
          <w:numId w:val="33"/>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Facilitating sexual behaviour by others.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lastRenderedPageBreak/>
        <w:t>Electronic, as well as verbal or written, transmission of such messages and materials should also be considered abusive.</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Alternative terminology</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Inappropriate Sexual Behaviour is a term sometimes used to refer to problematic sexual behaviour. Bryn Melyn Care uses the term </w:t>
      </w:r>
      <w:r w:rsidRPr="004266BA">
        <w:rPr>
          <w:rFonts w:ascii="Arial" w:eastAsia="Times New Roman" w:hAnsi="Arial" w:cs="Arial"/>
          <w:b/>
          <w:bCs/>
          <w:sz w:val="20"/>
          <w:szCs w:val="20"/>
          <w:lang w:eastAsia="en-GB"/>
        </w:rPr>
        <w:t>Sexually Harmful Behaviour</w:t>
      </w:r>
      <w:r w:rsidRPr="004266BA">
        <w:rPr>
          <w:rFonts w:ascii="Arial" w:eastAsia="Times New Roman" w:hAnsi="Arial" w:cs="Arial"/>
          <w:sz w:val="20"/>
          <w:szCs w:val="20"/>
          <w:lang w:eastAsia="en-GB"/>
        </w:rPr>
        <w:t xml:space="preserve"> in line with current practice and research in the area. When </w:t>
      </w:r>
      <w:proofErr w:type="gramStart"/>
      <w:r w:rsidRPr="004266BA">
        <w:rPr>
          <w:rFonts w:ascii="Arial" w:eastAsia="Times New Roman" w:hAnsi="Arial" w:cs="Arial"/>
          <w:sz w:val="20"/>
          <w:szCs w:val="20"/>
          <w:lang w:eastAsia="en-GB"/>
        </w:rPr>
        <w:t>a behaviour</w:t>
      </w:r>
      <w:proofErr w:type="gramEnd"/>
      <w:r w:rsidRPr="004266BA">
        <w:rPr>
          <w:rFonts w:ascii="Arial" w:eastAsia="Times New Roman" w:hAnsi="Arial" w:cs="Arial"/>
          <w:sz w:val="20"/>
          <w:szCs w:val="20"/>
          <w:lang w:eastAsia="en-GB"/>
        </w:rPr>
        <w:t xml:space="preserve"> becomes sexually harmful is a decision often made by expert professional judgement. The </w:t>
      </w:r>
      <w:hyperlink r:id="rId31" w:tgtFrame="_blank" w:history="1">
        <w:r w:rsidRPr="004266BA">
          <w:rPr>
            <w:rFonts w:ascii="Arial" w:eastAsia="Times New Roman" w:hAnsi="Arial" w:cs="Arial"/>
            <w:b/>
            <w:bCs/>
            <w:sz w:val="20"/>
            <w:szCs w:val="20"/>
            <w:u w:val="single"/>
            <w:lang w:eastAsia="en-GB"/>
          </w:rPr>
          <w:t>Sexual Behaviours Traffic Light Tool</w:t>
        </w:r>
      </w:hyperlink>
      <w:r w:rsidRPr="004266BA">
        <w:rPr>
          <w:rFonts w:ascii="Arial" w:eastAsia="Times New Roman" w:hAnsi="Arial" w:cs="Arial"/>
          <w:sz w:val="20"/>
          <w:szCs w:val="20"/>
          <w:lang w:eastAsia="en-GB"/>
        </w:rPr>
        <w:t> should be used to inform thinking around sexual behaviours.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The Department of Health (2006) uses the term ‘</w:t>
      </w:r>
      <w:r w:rsidRPr="004266BA">
        <w:rPr>
          <w:rFonts w:ascii="Arial" w:eastAsia="Times New Roman" w:hAnsi="Arial" w:cs="Arial"/>
          <w:b/>
          <w:bCs/>
          <w:sz w:val="20"/>
          <w:szCs w:val="20"/>
          <w:lang w:eastAsia="en-GB"/>
        </w:rPr>
        <w:t>sexually abusive behaviour</w:t>
      </w:r>
      <w:r w:rsidRPr="004266BA">
        <w:rPr>
          <w:rFonts w:ascii="Arial" w:eastAsia="Times New Roman" w:hAnsi="Arial" w:cs="Arial"/>
          <w:sz w:val="20"/>
          <w:szCs w:val="20"/>
          <w:lang w:eastAsia="en-GB"/>
        </w:rPr>
        <w:t>’. This is defined as: ‘any sexual interaction with a person(s) of any age that is perpetrated (1) against the victim’s will, (2) without consent, or (3) in an aggressive, exploitative, manipulative or threatening manner’.</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The Department for Education defines the term ‘</w:t>
      </w:r>
      <w:r w:rsidRPr="004266BA">
        <w:rPr>
          <w:rFonts w:ascii="Arial" w:eastAsia="Times New Roman" w:hAnsi="Arial" w:cs="Arial"/>
          <w:b/>
          <w:bCs/>
          <w:sz w:val="20"/>
          <w:szCs w:val="20"/>
          <w:lang w:eastAsia="en-GB"/>
        </w:rPr>
        <w:t>sexual abuse</w:t>
      </w:r>
      <w:r w:rsidRPr="004266BA">
        <w:rPr>
          <w:rFonts w:ascii="Arial" w:eastAsia="Times New Roman" w:hAnsi="Arial" w:cs="Arial"/>
          <w:sz w:val="20"/>
          <w:szCs w:val="20"/>
          <w:lang w:eastAsia="en-GB"/>
        </w:rPr>
        <w:t>’ in its glossary as: ‘</w:t>
      </w:r>
      <w:r w:rsidRPr="004266BA">
        <w:rPr>
          <w:rFonts w:ascii="Arial" w:eastAsia="Times New Roman" w:hAnsi="Arial" w:cs="Arial"/>
          <w:i/>
          <w:iCs/>
          <w:sz w:val="20"/>
          <w:szCs w:val="20"/>
          <w:lang w:eastAsia="en-GB"/>
        </w:rPr>
        <w:t>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636DA" w:rsidRPr="004266BA" w:rsidRDefault="001636DA" w:rsidP="001636DA">
      <w:pPr>
        <w:spacing w:before="100" w:beforeAutospacing="1" w:after="100" w:afterAutospacing="1" w:line="189"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[1] Cited in Young People who Sexually Abuse Source Document: Youth Justice Board (2008).</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br/>
      </w:r>
      <w:r w:rsidRPr="00EB5E73">
        <w:rPr>
          <w:rFonts w:ascii="Arial" w:eastAsia="Times New Roman" w:hAnsi="Arial" w:cs="Arial"/>
          <w:b/>
          <w:bCs/>
          <w:sz w:val="24"/>
          <w:szCs w:val="20"/>
          <w:lang w:eastAsia="en-GB"/>
        </w:rPr>
        <w:t>3.</w:t>
      </w:r>
      <w:bookmarkStart w:id="3" w:name="bg"/>
      <w:bookmarkEnd w:id="3"/>
      <w:r w:rsidRPr="00EB5E73">
        <w:rPr>
          <w:rFonts w:ascii="Arial" w:eastAsia="Times New Roman" w:hAnsi="Arial" w:cs="Arial"/>
          <w:b/>
          <w:bCs/>
          <w:sz w:val="24"/>
          <w:szCs w:val="20"/>
          <w:lang w:eastAsia="en-GB"/>
        </w:rPr>
        <w:t> Background Information</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3.1 What is Harmful Sexual Behaviour?</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Sexual abuse is regulated in law by a number of statutes, primarily the Sexual Offences Act 2003, which protects children and young people by creating age boundaries that affect the seriousness of the offence. In particular, young people under the age of 13 are considered in law to be unable to give consent to sexual activity. The law places a strict interpretation on the responsibility of those who engage in sexual activity, which means that young people over the age of 10 years who abuse are expected to take responsibility for their actions.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Sexual exploration during childhood and adolescence is a normal part of development and many expressions of sexual behaviour would result in no cause for concern. To help support professional judgement in this area Brook has developed a </w:t>
      </w:r>
      <w:hyperlink r:id="rId32" w:tgtFrame="_blank" w:history="1">
        <w:r w:rsidRPr="004266BA">
          <w:rPr>
            <w:rFonts w:ascii="Arial" w:eastAsia="Times New Roman" w:hAnsi="Arial" w:cs="Arial"/>
            <w:b/>
            <w:bCs/>
            <w:sz w:val="20"/>
            <w:szCs w:val="20"/>
            <w:u w:val="single"/>
            <w:lang w:eastAsia="en-GB"/>
          </w:rPr>
          <w:t>Sexual Behaviours Traffic Light Tool</w:t>
        </w:r>
      </w:hyperlink>
      <w:r w:rsidRPr="004266BA">
        <w:rPr>
          <w:rFonts w:ascii="Arial" w:eastAsia="Times New Roman" w:hAnsi="Arial" w:cs="Arial"/>
          <w:sz w:val="20"/>
          <w:szCs w:val="20"/>
          <w:lang w:eastAsia="en-GB"/>
        </w:rPr>
        <w:t>. The Sexual Behaviours Traffic Light Tool lists examples of green (safe and healthy), amber and red behaviours (both outside safe and healthy) in four different age groups. The age categories deliberately overlap to demonstrate the fluidity and variable nature of development. The 13 to 17 age category may also be a useful guide for vulnerable young people, or young people with physical or learning disabilities, up to the age of 25.</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All green, amber and red behaviours require some form of attention and response, but the type of intervention will vary according to the behaviour. Green behaviours may highlight opportunities to provide positive feedback and information that supports healthy sexuality. Amber and red behaviours may require observation, documentation, education, referral to other services, increased supervision, therapy, safeguarding assessment and/or a legal response.</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lastRenderedPageBreak/>
        <w:t>Sexual development is influenced by many factors. When using the traffic light tool to categorise behaviour, it is necessary to consider the current social, cultural, legal, community and familial context.</w:t>
      </w:r>
      <w:r w:rsidR="00807917" w:rsidRPr="004266BA">
        <w:rPr>
          <w:rFonts w:ascii="Arial" w:eastAsia="Times New Roman" w:hAnsi="Arial" w:cs="Arial"/>
          <w:sz w:val="20"/>
          <w:szCs w:val="20"/>
          <w:lang w:eastAsia="en-GB"/>
        </w:rPr>
        <w:t xml:space="preserve"> </w:t>
      </w:r>
      <w:hyperlink r:id="rId33" w:tgtFrame="_blank" w:history="1">
        <w:r w:rsidRPr="004266BA">
          <w:rPr>
            <w:rFonts w:ascii="Arial" w:eastAsia="Times New Roman" w:hAnsi="Arial" w:cs="Arial"/>
            <w:b/>
            <w:bCs/>
            <w:sz w:val="20"/>
            <w:szCs w:val="20"/>
            <w:u w:val="single"/>
            <w:lang w:eastAsia="en-GB"/>
          </w:rPr>
          <w:t>Guidance</w:t>
        </w:r>
      </w:hyperlink>
      <w:r w:rsidRPr="004266BA">
        <w:rPr>
          <w:rFonts w:ascii="Arial" w:eastAsia="Times New Roman" w:hAnsi="Arial" w:cs="Arial"/>
          <w:sz w:val="20"/>
          <w:szCs w:val="20"/>
          <w:lang w:eastAsia="en-GB"/>
        </w:rPr>
        <w:t> is provided by Brook for using the sexual behaviours traffic light tool. </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3.2 Prevalence</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Sexual abuse perpetrated by young people is a comparatively recent field of knowledge in which policy and practice for assessment and intervention is still evolving. There has been an increasing awareness of the prevalence of young people under the age of 18 committing sexually harmful acts, it is estimated that between about one-quarter and one-third of alleged sexual abuse or sexual harm incidents are perpetrated by young people [2].</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Whilst there are no official figures which detail how many young people have experienced or perpetrated harmful sexual behaviours, there are estimates which have been obtained from research studies. Official records such as Police records are likely to be a significant under representation of the scale of the problem due to harmful sexual behaviour being under-recognised and under-reported. Retrospective studies present a broad consensus that between 23-40% of all alleged sexual abuse of children and young people is perpetrated by other young people, mainly adolescents (NSPCC, 2011). In 2013-2014 over 4,200 children and young people were reported as being perpetrators of sexual abuse (NSPCC, 2014.)</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3.3 Research on factors that contribute to harmful sexual behaviour occurring</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Hawkes (2009</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t>3] noted that “</w:t>
      </w:r>
      <w:r w:rsidRPr="004266BA">
        <w:rPr>
          <w:rFonts w:ascii="Arial" w:eastAsia="Times New Roman" w:hAnsi="Arial" w:cs="Arial"/>
          <w:i/>
          <w:iCs/>
          <w:sz w:val="20"/>
          <w:szCs w:val="20"/>
          <w:lang w:eastAsia="en-GB"/>
        </w:rPr>
        <w:t>research into sexually harmful behaviour in children has evolved towards a general recognition that neglect and maltreatment in early childhood, including sexual abuse, may predispose the onset of sexually harmful behaviour.</w:t>
      </w:r>
      <w:r w:rsidRPr="004266BA">
        <w:rPr>
          <w:rFonts w:ascii="Arial" w:eastAsia="Times New Roman" w:hAnsi="Arial" w:cs="Arial"/>
          <w:sz w:val="20"/>
          <w:szCs w:val="20"/>
          <w:lang w:eastAsia="en-GB"/>
        </w:rPr>
        <w:t xml:space="preserve">” Additionally further research has identified four key psychological risk factors, each of which independently or in combination, </w:t>
      </w:r>
      <w:proofErr w:type="gramStart"/>
      <w:r w:rsidRPr="004266BA">
        <w:rPr>
          <w:rFonts w:ascii="Arial" w:eastAsia="Times New Roman" w:hAnsi="Arial" w:cs="Arial"/>
          <w:sz w:val="20"/>
          <w:szCs w:val="20"/>
          <w:lang w:eastAsia="en-GB"/>
        </w:rPr>
        <w:t>act</w:t>
      </w:r>
      <w:proofErr w:type="gramEnd"/>
      <w:r w:rsidRPr="004266BA">
        <w:rPr>
          <w:rFonts w:ascii="Arial" w:eastAsia="Times New Roman" w:hAnsi="Arial" w:cs="Arial"/>
          <w:sz w:val="20"/>
          <w:szCs w:val="20"/>
          <w:lang w:eastAsia="en-GB"/>
        </w:rPr>
        <w:t xml:space="preserve"> as a distinct pathway towards sexually abusive behaviour. </w:t>
      </w:r>
      <w:proofErr w:type="gramStart"/>
      <w:r w:rsidRPr="004266BA">
        <w:rPr>
          <w:rFonts w:ascii="Arial" w:eastAsia="Times New Roman" w:hAnsi="Arial" w:cs="Arial"/>
          <w:sz w:val="20"/>
          <w:szCs w:val="20"/>
          <w:lang w:eastAsia="en-GB"/>
        </w:rPr>
        <w:t xml:space="preserve">(Beech &amp; Ward, 2004[4]; Thornton, 2000[5]; Ward &amp; </w:t>
      </w:r>
      <w:proofErr w:type="spellStart"/>
      <w:r w:rsidRPr="004266BA">
        <w:rPr>
          <w:rFonts w:ascii="Arial" w:eastAsia="Times New Roman" w:hAnsi="Arial" w:cs="Arial"/>
          <w:sz w:val="20"/>
          <w:szCs w:val="20"/>
          <w:lang w:eastAsia="en-GB"/>
        </w:rPr>
        <w:t>Siegert</w:t>
      </w:r>
      <w:proofErr w:type="spellEnd"/>
      <w:r w:rsidRPr="004266BA">
        <w:rPr>
          <w:rFonts w:ascii="Arial" w:eastAsia="Times New Roman" w:hAnsi="Arial" w:cs="Arial"/>
          <w:sz w:val="20"/>
          <w:szCs w:val="20"/>
          <w:lang w:eastAsia="en-GB"/>
        </w:rPr>
        <w:t xml:space="preserve"> 2002[6]).</w:t>
      </w:r>
      <w:proofErr w:type="gramEnd"/>
      <w:r w:rsidRPr="004266BA">
        <w:rPr>
          <w:rFonts w:ascii="Arial" w:eastAsia="Times New Roman" w:hAnsi="Arial" w:cs="Arial"/>
          <w:sz w:val="20"/>
          <w:szCs w:val="20"/>
          <w:lang w:eastAsia="en-GB"/>
        </w:rPr>
        <w:t> The four key dynamic risk domains are:</w:t>
      </w:r>
    </w:p>
    <w:p w:rsidR="001636DA" w:rsidRPr="004266BA" w:rsidRDefault="001636DA" w:rsidP="001636DA">
      <w:pPr>
        <w:numPr>
          <w:ilvl w:val="0"/>
          <w:numId w:val="34"/>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Sexual interests and regulation;</w:t>
      </w:r>
    </w:p>
    <w:p w:rsidR="001636DA" w:rsidRPr="004266BA" w:rsidRDefault="001636DA" w:rsidP="001636DA">
      <w:pPr>
        <w:numPr>
          <w:ilvl w:val="0"/>
          <w:numId w:val="34"/>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Offence supportive attitudes (cognitive distortions) supportive of sexually abusive behaviours;</w:t>
      </w:r>
    </w:p>
    <w:p w:rsidR="001636DA" w:rsidRPr="004266BA" w:rsidRDefault="001636DA" w:rsidP="001636DA">
      <w:pPr>
        <w:numPr>
          <w:ilvl w:val="0"/>
          <w:numId w:val="34"/>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Socio-affective functioning problems (difficulties related to social functional and emotional management);</w:t>
      </w:r>
    </w:p>
    <w:p w:rsidR="001636DA" w:rsidRPr="004266BA" w:rsidRDefault="001636DA" w:rsidP="001636DA">
      <w:pPr>
        <w:numPr>
          <w:ilvl w:val="0"/>
          <w:numId w:val="34"/>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General self-management problems.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Beech and Ward (2004</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t>3] have developed these factors further, encompassing them into an aetiological model of risk. This model suggests that developmental experiences such as being sexually abused, rejected by parents or suffering poor attachments can lead to the development of risk vulnerability traits. For example, table dynamic (or psychological) risk factors such as poor emotional regulation, sexual self-regulation, socio-affective problems and sexually abuse supportive beliefs. Certain trigger events or contextual situations, such as substance misuse or emotional difficulties/life stresses, can interact with these underlying traits. This interaction can then produce acute dynamic or state factors such as inappropriate sexual thoughts or a need for intimacy that increase the risk of abusive behaviours.</w:t>
      </w:r>
    </w:p>
    <w:p w:rsidR="001636DA" w:rsidRPr="004266BA" w:rsidRDefault="001636DA" w:rsidP="001636DA">
      <w:pPr>
        <w:spacing w:before="100" w:beforeAutospacing="1" w:after="100" w:afterAutospacing="1" w:line="189"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 xml:space="preserve">[2] Masson, H and </w:t>
      </w:r>
      <w:proofErr w:type="spellStart"/>
      <w:r w:rsidRPr="004266BA">
        <w:rPr>
          <w:rFonts w:ascii="Arial" w:eastAsia="Times New Roman" w:hAnsi="Arial" w:cs="Arial"/>
          <w:sz w:val="20"/>
          <w:szCs w:val="20"/>
          <w:lang w:eastAsia="en-GB"/>
        </w:rPr>
        <w:t>Erooga</w:t>
      </w:r>
      <w:proofErr w:type="spellEnd"/>
      <w:r w:rsidRPr="004266BA">
        <w:rPr>
          <w:rFonts w:ascii="Arial" w:eastAsia="Times New Roman" w:hAnsi="Arial" w:cs="Arial"/>
          <w:sz w:val="20"/>
          <w:szCs w:val="20"/>
          <w:lang w:eastAsia="en-GB"/>
        </w:rPr>
        <w:t xml:space="preserve">, M (2006) Children and Young People Who Sexually Abuse Others, London: </w:t>
      </w:r>
      <w:proofErr w:type="gramStart"/>
      <w:r w:rsidRPr="004266BA">
        <w:rPr>
          <w:rFonts w:ascii="Arial" w:eastAsia="Times New Roman" w:hAnsi="Arial" w:cs="Arial"/>
          <w:sz w:val="20"/>
          <w:szCs w:val="20"/>
          <w:lang w:eastAsia="en-GB"/>
        </w:rPr>
        <w:t>Routledge</w:t>
      </w:r>
      <w:proofErr w:type="gramEnd"/>
      <w:r w:rsidRPr="004266BA">
        <w:rPr>
          <w:rFonts w:ascii="Arial" w:eastAsia="Times New Roman" w:hAnsi="Arial" w:cs="Arial"/>
          <w:sz w:val="20"/>
          <w:szCs w:val="20"/>
          <w:lang w:eastAsia="en-GB"/>
        </w:rPr>
        <w:br/>
        <w:t xml:space="preserve">[3] Hawkes, C. (2009). Sexually harmful behaviour in young children and the link to maltreatment in early childhood: Conclusions from a UK study of boys referred to the National Clinical Assessment and Treatment Service (NCATS): A Specialist Service for sexually harmful behaviour. </w:t>
      </w:r>
      <w:proofErr w:type="gramStart"/>
      <w:r w:rsidRPr="004266BA">
        <w:rPr>
          <w:rFonts w:ascii="Arial" w:eastAsia="Times New Roman" w:hAnsi="Arial" w:cs="Arial"/>
          <w:sz w:val="20"/>
          <w:szCs w:val="20"/>
          <w:lang w:eastAsia="en-GB"/>
        </w:rPr>
        <w:t>NSPCC.</w:t>
      </w:r>
      <w:proofErr w:type="gramEnd"/>
      <w:r w:rsidRPr="004266BA">
        <w:rPr>
          <w:rFonts w:ascii="Arial" w:eastAsia="Times New Roman" w:hAnsi="Arial" w:cs="Arial"/>
          <w:sz w:val="20"/>
          <w:szCs w:val="20"/>
          <w:lang w:eastAsia="en-GB"/>
        </w:rPr>
        <w:br/>
        <w:t xml:space="preserve">[4] Beech, A. &amp; Ward, T. (2004). The integration of </w:t>
      </w:r>
      <w:proofErr w:type="spellStart"/>
      <w:r w:rsidRPr="004266BA">
        <w:rPr>
          <w:rFonts w:ascii="Arial" w:eastAsia="Times New Roman" w:hAnsi="Arial" w:cs="Arial"/>
          <w:sz w:val="20"/>
          <w:szCs w:val="20"/>
          <w:lang w:eastAsia="en-GB"/>
        </w:rPr>
        <w:t>etiology</w:t>
      </w:r>
      <w:proofErr w:type="spellEnd"/>
      <w:r w:rsidRPr="004266BA">
        <w:rPr>
          <w:rFonts w:ascii="Arial" w:eastAsia="Times New Roman" w:hAnsi="Arial" w:cs="Arial"/>
          <w:sz w:val="20"/>
          <w:szCs w:val="20"/>
          <w:lang w:eastAsia="en-GB"/>
        </w:rPr>
        <w:t xml:space="preserve"> and risk in sexual offenders: A theoretical framework. </w:t>
      </w:r>
      <w:proofErr w:type="gramStart"/>
      <w:r w:rsidRPr="004266BA">
        <w:rPr>
          <w:rFonts w:ascii="Arial" w:eastAsia="Times New Roman" w:hAnsi="Arial" w:cs="Arial"/>
          <w:sz w:val="20"/>
          <w:szCs w:val="20"/>
          <w:lang w:eastAsia="en-GB"/>
        </w:rPr>
        <w:t>Aggression and Violent Behaviour, 10.</w:t>
      </w:r>
      <w:proofErr w:type="gramEnd"/>
      <w:r w:rsidRPr="004266BA">
        <w:rPr>
          <w:rFonts w:ascii="Arial" w:eastAsia="Times New Roman" w:hAnsi="Arial" w:cs="Arial"/>
          <w:sz w:val="20"/>
          <w:szCs w:val="20"/>
          <w:lang w:eastAsia="en-GB"/>
        </w:rPr>
        <w:t> </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lastRenderedPageBreak/>
        <w:t>[5] Thornton, D. (2000)</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t xml:space="preserve"> Structured risk assessment. Sinclair Seminars Conference on Sex Offender Re-Offence Risk Prediction, Madison, WI: Sinclair Seminars. </w:t>
      </w:r>
      <w:r w:rsidRPr="004266BA">
        <w:rPr>
          <w:rFonts w:ascii="Arial" w:eastAsia="Times New Roman" w:hAnsi="Arial" w:cs="Arial"/>
          <w:sz w:val="20"/>
          <w:szCs w:val="20"/>
          <w:lang w:eastAsia="en-GB"/>
        </w:rPr>
        <w:br/>
        <w:t xml:space="preserve">[6] Ward, T. &amp; </w:t>
      </w:r>
      <w:proofErr w:type="spellStart"/>
      <w:r w:rsidRPr="004266BA">
        <w:rPr>
          <w:rFonts w:ascii="Arial" w:eastAsia="Times New Roman" w:hAnsi="Arial" w:cs="Arial"/>
          <w:sz w:val="20"/>
          <w:szCs w:val="20"/>
          <w:lang w:eastAsia="en-GB"/>
        </w:rPr>
        <w:t>Siegert</w:t>
      </w:r>
      <w:proofErr w:type="spellEnd"/>
      <w:r w:rsidRPr="004266BA">
        <w:rPr>
          <w:rFonts w:ascii="Arial" w:eastAsia="Times New Roman" w:hAnsi="Arial" w:cs="Arial"/>
          <w:sz w:val="20"/>
          <w:szCs w:val="20"/>
          <w:lang w:eastAsia="en-GB"/>
        </w:rPr>
        <w:t xml:space="preserve">, R. J. (2002). Toward a comprehensive theory of child sexual abuse: A theory knitting perspective. </w:t>
      </w:r>
      <w:proofErr w:type="gramStart"/>
      <w:r w:rsidRPr="004266BA">
        <w:rPr>
          <w:rFonts w:ascii="Arial" w:eastAsia="Times New Roman" w:hAnsi="Arial" w:cs="Arial"/>
          <w:sz w:val="20"/>
          <w:szCs w:val="20"/>
          <w:lang w:eastAsia="en-GB"/>
        </w:rPr>
        <w:t>Psychology, Crime, and Law, 9.</w:t>
      </w:r>
      <w:proofErr w:type="gramEnd"/>
      <w:r w:rsidRPr="004266BA">
        <w:rPr>
          <w:rFonts w:ascii="Arial" w:eastAsia="Times New Roman" w:hAnsi="Arial" w:cs="Arial"/>
          <w:sz w:val="20"/>
          <w:szCs w:val="20"/>
          <w:lang w:eastAsia="en-GB"/>
        </w:rPr>
        <w:t> </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br/>
      </w:r>
      <w:r w:rsidRPr="00EB5E73">
        <w:rPr>
          <w:rFonts w:ascii="Arial" w:eastAsia="Times New Roman" w:hAnsi="Arial" w:cs="Arial"/>
          <w:b/>
          <w:bCs/>
          <w:sz w:val="24"/>
          <w:szCs w:val="20"/>
          <w:lang w:eastAsia="en-GB"/>
        </w:rPr>
        <w:t>4.</w:t>
      </w:r>
      <w:bookmarkStart w:id="4" w:name="roles"/>
      <w:bookmarkEnd w:id="4"/>
      <w:r w:rsidRPr="00EB5E73">
        <w:rPr>
          <w:rFonts w:ascii="Arial" w:eastAsia="Times New Roman" w:hAnsi="Arial" w:cs="Arial"/>
          <w:b/>
          <w:bCs/>
          <w:sz w:val="24"/>
          <w:szCs w:val="20"/>
          <w:lang w:eastAsia="en-GB"/>
        </w:rPr>
        <w:t> Roles and Responsibilities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4.1 The organisation will:</w:t>
      </w:r>
    </w:p>
    <w:p w:rsidR="001636DA" w:rsidRPr="004266BA" w:rsidRDefault="001636DA" w:rsidP="001636DA">
      <w:pPr>
        <w:numPr>
          <w:ilvl w:val="0"/>
          <w:numId w:val="35"/>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Ensure that young people who have previously carried out harmful sexual behaviours are treated as an individual and are not labelled by their previous behaviours;</w:t>
      </w:r>
    </w:p>
    <w:p w:rsidR="001636DA" w:rsidRPr="004266BA" w:rsidRDefault="001636DA" w:rsidP="001636DA">
      <w:pPr>
        <w:numPr>
          <w:ilvl w:val="0"/>
          <w:numId w:val="35"/>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Carefully consider matching within our homes for young people where there has been previous evidence of harmful sexual behaviours.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4.2 Care, education and clinical staff will:</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Work with young people in a non-judgmental way whilst seeking to understand behaviours and support young people in recognising the impact that their behaviours have had and the factors that have contributed to these. An alleged perpetrator should always also be considered a victim as displays of sexually harmful behaviour are indicative of underlying problems;</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Use available information from referral documentation and ongoing monitoring to assess the risks posed by young people;</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Promote and support age and functioning appropriate normative sexual behaviours by supporting young people to make healthy decisions about their behaviour and develop their understanding of what is and is not acceptable;</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Provide education and guidance regarding healthy sexual behaviours and sexual relationships;</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Promoting the benefits to young people in addressing harmful sexual behaviours by encouraging access to help and support;</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Reporting any further evidence of harmful sexual behaviours in line with local policy;</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Seek further guidance and support when individuals feel that they are outside of their areas of professional competency;</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The clinical team will support care and education staff to understand the function of harmful sexual behaviours teams through consultation, team meetings and further discussions where required;</w:t>
      </w:r>
    </w:p>
    <w:p w:rsidR="001636DA" w:rsidRPr="004266BA" w:rsidRDefault="001636DA" w:rsidP="001636DA">
      <w:pPr>
        <w:numPr>
          <w:ilvl w:val="0"/>
          <w:numId w:val="36"/>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The care and clinical teams will support work with external agencies where required for example the Youth Offending Service.</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4.3 All Young People will be encouraged to:</w:t>
      </w:r>
    </w:p>
    <w:p w:rsidR="001636DA" w:rsidRPr="004266BA" w:rsidRDefault="001636DA" w:rsidP="001636DA">
      <w:pPr>
        <w:numPr>
          <w:ilvl w:val="0"/>
          <w:numId w:val="37"/>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Develop their understanding of their previous behaviours, why these occurred and how they can refrain from committing harmful sexual acts again in the future;</w:t>
      </w:r>
    </w:p>
    <w:p w:rsidR="001636DA" w:rsidRPr="004266BA" w:rsidRDefault="001636DA" w:rsidP="001636DA">
      <w:pPr>
        <w:numPr>
          <w:ilvl w:val="0"/>
          <w:numId w:val="37"/>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Develop their understanding of healthy sexual functioning in line with their age and developmental abilities.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4.4 Social Workers/Parents will be encouraged to:</w:t>
      </w:r>
    </w:p>
    <w:p w:rsidR="001636DA" w:rsidRPr="004266BA" w:rsidRDefault="001636DA" w:rsidP="001636DA">
      <w:pPr>
        <w:numPr>
          <w:ilvl w:val="0"/>
          <w:numId w:val="38"/>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lastRenderedPageBreak/>
        <w:t>Provide information relevant to the assessment of, and intervention with, young people who exhibit harmful sexual behaviours;</w:t>
      </w:r>
    </w:p>
    <w:p w:rsidR="001636DA" w:rsidRPr="004266BA" w:rsidRDefault="001636DA" w:rsidP="001636DA">
      <w:pPr>
        <w:numPr>
          <w:ilvl w:val="0"/>
          <w:numId w:val="38"/>
        </w:numPr>
        <w:spacing w:before="192" w:after="192"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Support and promote the identified treatment plan.</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br/>
      </w:r>
      <w:r w:rsidRPr="00EB5E73">
        <w:rPr>
          <w:rFonts w:ascii="Arial" w:eastAsia="Times New Roman" w:hAnsi="Arial" w:cs="Arial"/>
          <w:b/>
          <w:bCs/>
          <w:sz w:val="24"/>
          <w:szCs w:val="20"/>
          <w:lang w:eastAsia="en-GB"/>
        </w:rPr>
        <w:t>5. </w:t>
      </w:r>
      <w:bookmarkStart w:id="5" w:name="assessment"/>
      <w:bookmarkEnd w:id="5"/>
      <w:r w:rsidRPr="00EB5E73">
        <w:rPr>
          <w:rFonts w:ascii="Arial" w:eastAsia="Times New Roman" w:hAnsi="Arial" w:cs="Arial"/>
          <w:b/>
          <w:bCs/>
          <w:sz w:val="24"/>
          <w:szCs w:val="20"/>
          <w:lang w:eastAsia="en-GB"/>
        </w:rPr>
        <w:t>Assessment</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The purpose of undertaking an assessment of harmful sexual behaviours is to acknowledge that young people who carry out such behaviours are a heterogeneous (diverse) population. As such all young people will present with their own individual risks and needs that contributed to them carrying out a harmful sexual act. Thorough assessment would allow for the underlying functions of such behaviours to be considered, along with providing a detailed formulation as to the factors which contributed to their behaviours. In addition, suggestions for treatment targets and risk management plan to effectively manage risk in the future would be provided.</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When undertaking specific risk assessments a structured risk assessment tool suitable for a young person’s developmental age and gender should be utilised to underpin a thorough assessment. The risk assessment tool would be used alongside clinical judgement and current research to develop a working formulation of risk and protective factors.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5.1 Young People who have a history of HSB prior to their placement within BMC</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If a young person is referred and accepted into a Bryn Melyn Care home who has a history of HSB the nature and extent of these will be considered by the Allocated Clinician. If assessments have previously been carried out either by Youth Offending Teams or other professionals these will be requested and reviewed. If interventions have been carried out previously the Allocated Clinician will seek post treatment reports. The recommendations outlined within these reports, along with any treatment needs/deficits will be highlighted within the Initial Clinical Needs Assessment.</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Joint working, including assessment and intervention, with the local Youth Offending Teams can be facilitated if this is required.</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If it is considered beneficial to support the management and treatment planning for a young person in our care further assessment of harmful sexual behaviours can be considered. </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5.2 Young People who exhibit Harmful Sexual Behaviours whilst placed within BMC</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The company policy for official reporting procedures and notifiable events should be followed in the first instance. Following this safeguarding and/or police investigations and/or charges should be bought to conclusion. If a young person is required to work with the Youth Offending Team this can be further supported by the Clinical Team where required.</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If no further action is taken it may be considered appropriate for the Clinical Team to undertake an assessment of the behaviours displayed and consider any associated risks with this.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All risk assessments, Individual Behavioural Support Plans (IBSP) and placement plans will be reviewed. This will include review of peer matching in homes and education in addition to risks present in the community.</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5.3 Recognised risk assessments for harmful sexual behaviour</w:t>
      </w:r>
    </w:p>
    <w:p w:rsidR="001636DA" w:rsidRPr="004266BA" w:rsidRDefault="001636DA" w:rsidP="001636DA">
      <w:pPr>
        <w:numPr>
          <w:ilvl w:val="0"/>
          <w:numId w:val="39"/>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Estimate of Risk of Adolescent Sexual Offence Recidivism (ERASOR)</w:t>
      </w:r>
      <w:r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lastRenderedPageBreak/>
        <w:t>The ERASOR is a structured professional judgment (SPJ) tool and is designed to assist evaluators to estimate the risk of a sexual re</w:t>
      </w:r>
      <w:r w:rsidR="000B52D6"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t>offence ONLY for individuals aged 12-18 who have previously committed a sexual assault.</w:t>
      </w:r>
    </w:p>
    <w:p w:rsidR="001636DA" w:rsidRPr="004266BA" w:rsidRDefault="001636DA" w:rsidP="001636DA">
      <w:pPr>
        <w:numPr>
          <w:ilvl w:val="0"/>
          <w:numId w:val="39"/>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Juvenile Sexual Offender Assessment Protocol- version 2 (J-SOAP 2)</w:t>
      </w:r>
      <w:r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An SPJ tool designed for use with boys aged 12 to 18 years including those who have been adjudicated (convicted) for sexual offences and those that have been non-adjudicated but have a history of sexually coercive behaviour</w:t>
      </w:r>
    </w:p>
    <w:p w:rsidR="001636DA" w:rsidRPr="004266BA" w:rsidRDefault="001636DA" w:rsidP="001636DA">
      <w:pPr>
        <w:numPr>
          <w:ilvl w:val="0"/>
          <w:numId w:val="39"/>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Assessment, Intervention and Moving On Project (AIM-2)</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An initial assessment model for young people who display sexually harmful behaviour utilised by Youth Offending Teams. </w:t>
      </w:r>
    </w:p>
    <w:p w:rsidR="001636DA" w:rsidRPr="004266BA" w:rsidRDefault="001636DA" w:rsidP="001636DA">
      <w:pPr>
        <w:numPr>
          <w:ilvl w:val="0"/>
          <w:numId w:val="39"/>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Juvenile Sexual Offense Recidivism Risk Assessment Tool – II (JSORRAT–II)</w:t>
      </w:r>
      <w:r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An </w:t>
      </w:r>
      <w:r w:rsidRPr="004266BA">
        <w:rPr>
          <w:rFonts w:ascii="Arial" w:eastAsia="Times New Roman" w:hAnsi="Arial" w:cs="Arial"/>
          <w:b/>
          <w:bCs/>
          <w:sz w:val="20"/>
          <w:szCs w:val="20"/>
          <w:lang w:eastAsia="en-GB"/>
        </w:rPr>
        <w:t>actuarial</w:t>
      </w:r>
      <w:r w:rsidRPr="004266BA">
        <w:rPr>
          <w:rFonts w:ascii="Arial" w:eastAsia="Times New Roman" w:hAnsi="Arial" w:cs="Arial"/>
          <w:sz w:val="20"/>
          <w:szCs w:val="20"/>
          <w:lang w:eastAsia="en-GB"/>
        </w:rPr>
        <w:t xml:space="preserve"> sexual recidivism risk assessment tool designed for male juveniles between ages </w:t>
      </w:r>
      <w:r w:rsidR="000B52D6" w:rsidRPr="004266BA">
        <w:rPr>
          <w:rFonts w:ascii="Arial" w:eastAsia="Times New Roman" w:hAnsi="Arial" w:cs="Arial"/>
          <w:sz w:val="20"/>
          <w:szCs w:val="20"/>
          <w:lang w:eastAsia="en-GB"/>
        </w:rPr>
        <w:t>12 to 18 years</w:t>
      </w:r>
      <w:r w:rsidRPr="004266BA">
        <w:rPr>
          <w:rFonts w:ascii="Arial" w:eastAsia="Times New Roman" w:hAnsi="Arial" w:cs="Arial"/>
          <w:sz w:val="20"/>
          <w:szCs w:val="20"/>
          <w:lang w:eastAsia="en-GB"/>
        </w:rPr>
        <w:t xml:space="preserve"> who have been adjudicated guilty for a sexual offence. As this is an actuarial tool this would provide a statistical probability of a young person committing further offences based on historical data.</w:t>
      </w:r>
    </w:p>
    <w:p w:rsidR="001636DA" w:rsidRPr="00EB5E73"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EB5E73">
        <w:rPr>
          <w:rFonts w:ascii="Arial" w:eastAsia="Times New Roman" w:hAnsi="Arial" w:cs="Arial"/>
          <w:b/>
          <w:bCs/>
          <w:sz w:val="24"/>
          <w:szCs w:val="20"/>
          <w:lang w:eastAsia="en-GB"/>
        </w:rPr>
        <w:t>6.</w:t>
      </w:r>
      <w:bookmarkStart w:id="6" w:name="interv"/>
      <w:bookmarkEnd w:id="6"/>
      <w:r w:rsidRPr="00EB5E73">
        <w:rPr>
          <w:rFonts w:ascii="Arial" w:eastAsia="Times New Roman" w:hAnsi="Arial" w:cs="Arial"/>
          <w:b/>
          <w:bCs/>
          <w:sz w:val="24"/>
          <w:szCs w:val="20"/>
          <w:lang w:eastAsia="en-GB"/>
        </w:rPr>
        <w:t> Interventions</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6.1 Direct interventions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Interventions would aim to help young people to understand their previous behaviours and help to support young people gaining control over sexually harmful behaviours. As with assessment, an individual treatment approach would be planned taking into consideration the risk factors associated with their behaviours and the needs that their behaviours met.</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There are a number of treatment options and approaches which may be considered for young people who exhibit harmful sexual behaviours. Intervention should be holistic, and focus on young person’s needs across all aspects of their lives and development. The information presented below identifies specific harmful sexual behaviour targeted treatment; however the formulation should be used to identify detailed and specific treatment goals:</w:t>
      </w:r>
    </w:p>
    <w:p w:rsidR="001636DA" w:rsidRPr="004266BA" w:rsidRDefault="001636DA" w:rsidP="001636DA">
      <w:pPr>
        <w:numPr>
          <w:ilvl w:val="0"/>
          <w:numId w:val="40"/>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The Good Lives Model</w:t>
      </w:r>
      <w:r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The GLM is a strengths-based approach that conceptualises sexually harmful behaviour as an individual’s inappropriate means to meet their core personal and social needs. Harmful sexual behaviours are seen as way of achieving needs through either: (1) a </w:t>
      </w:r>
      <w:r w:rsidRPr="004266BA">
        <w:rPr>
          <w:rFonts w:ascii="Arial" w:eastAsia="Times New Roman" w:hAnsi="Arial" w:cs="Arial"/>
          <w:i/>
          <w:iCs/>
          <w:sz w:val="20"/>
          <w:szCs w:val="20"/>
          <w:lang w:eastAsia="en-GB"/>
        </w:rPr>
        <w:t>direct</w:t>
      </w:r>
      <w:r w:rsidRPr="004266BA">
        <w:rPr>
          <w:rFonts w:ascii="Arial" w:eastAsia="Times New Roman" w:hAnsi="Arial" w:cs="Arial"/>
          <w:sz w:val="20"/>
          <w:szCs w:val="20"/>
          <w:lang w:eastAsia="en-GB"/>
        </w:rPr>
        <w:t> route where an individual does not have the skills or competencies to achieve these in an appropriate manner; or (2) an </w:t>
      </w:r>
      <w:r w:rsidRPr="004266BA">
        <w:rPr>
          <w:rFonts w:ascii="Arial" w:eastAsia="Times New Roman" w:hAnsi="Arial" w:cs="Arial"/>
          <w:i/>
          <w:iCs/>
          <w:sz w:val="20"/>
          <w:szCs w:val="20"/>
          <w:lang w:eastAsia="en-GB"/>
        </w:rPr>
        <w:t>indirect</w:t>
      </w:r>
      <w:r w:rsidRPr="004266BA">
        <w:rPr>
          <w:rFonts w:ascii="Arial" w:eastAsia="Times New Roman" w:hAnsi="Arial" w:cs="Arial"/>
          <w:sz w:val="20"/>
          <w:szCs w:val="20"/>
          <w:lang w:eastAsia="en-GB"/>
        </w:rPr>
        <w:t> route where the behaviour takes place to relieve the negative thoughts and feelings individuals have about their inabilities of achieving goods they are striving for. The aims of treatment are to work with a young person to construct a ‘Good Lives plan’ which is subsequently reviewed at later meetings. The plan consider a young person’s ‘old life’, what ‘needs’ their sexual harmful behaviour met and how they can appropriately meet this need in the short and long term.</w:t>
      </w:r>
    </w:p>
    <w:p w:rsidR="001636DA" w:rsidRPr="004266BA" w:rsidRDefault="001636DA" w:rsidP="001636DA">
      <w:pPr>
        <w:numPr>
          <w:ilvl w:val="0"/>
          <w:numId w:val="40"/>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Psycho-social Education</w:t>
      </w:r>
      <w:r w:rsidRPr="004266BA">
        <w:rPr>
          <w:rFonts w:ascii="Arial" w:eastAsia="Times New Roman" w:hAnsi="Arial" w:cs="Arial"/>
          <w:sz w:val="20"/>
          <w:szCs w:val="20"/>
          <w:lang w:eastAsia="en-GB"/>
        </w:rPr>
        <w: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The goal of providing psycho-social education would be to provide young people with information regarding what are considered normal, healthy adolescent sexual behaviours. Topics would include consent in sexual relationships, the consequences for violating social rules/laws regarding sexual behaviours, use of pornography and potential problems related to this and healthy sexual relationships. </w:t>
      </w:r>
    </w:p>
    <w:p w:rsidR="001636DA" w:rsidRPr="004266BA" w:rsidRDefault="001636DA" w:rsidP="001636DA">
      <w:pPr>
        <w:numPr>
          <w:ilvl w:val="0"/>
          <w:numId w:val="40"/>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lastRenderedPageBreak/>
        <w:t>Relapse Prevention Planning</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This approach would have a greater focus on offence analysis and understanding the offence chain and the decisions that were made in the lead up to the offence occurring. Work would then be undertaken to look at specific parts of the offence chain and consider how the offence could have been prevented. Future planning would then focus on how a young person could prevent them from acting on their impulses by identifying high risk behaviours and alternatives to offending.</w:t>
      </w:r>
    </w:p>
    <w:p w:rsidR="001636DA" w:rsidRPr="004266BA" w:rsidRDefault="001636DA" w:rsidP="001636DA">
      <w:pPr>
        <w:numPr>
          <w:ilvl w:val="0"/>
          <w:numId w:val="40"/>
        </w:numPr>
        <w:spacing w:before="192" w:after="192" w:line="240" w:lineRule="auto"/>
        <w:rPr>
          <w:rFonts w:ascii="Arial" w:eastAsia="Times New Roman" w:hAnsi="Arial" w:cs="Arial"/>
          <w:sz w:val="20"/>
          <w:szCs w:val="20"/>
          <w:lang w:eastAsia="en-GB"/>
        </w:rPr>
      </w:pPr>
      <w:r w:rsidRPr="004266BA">
        <w:rPr>
          <w:rFonts w:ascii="Arial" w:eastAsia="Times New Roman" w:hAnsi="Arial" w:cs="Arial"/>
          <w:b/>
          <w:bCs/>
          <w:sz w:val="20"/>
          <w:szCs w:val="20"/>
          <w:lang w:eastAsia="en-GB"/>
        </w:rPr>
        <w:t>Cognitive Behavioural Therapy (CBT);</w:t>
      </w:r>
      <w:r w:rsidRPr="004266BA">
        <w:rPr>
          <w:rFonts w:ascii="Arial" w:eastAsia="Times New Roman" w:hAnsi="Arial" w:cs="Arial"/>
          <w:sz w:val="20"/>
          <w:szCs w:val="20"/>
          <w:lang w:eastAsia="en-GB"/>
        </w:rPr>
        <w:br/>
      </w:r>
      <w:r w:rsidRPr="004266BA">
        <w:rPr>
          <w:rFonts w:ascii="Arial" w:eastAsia="Times New Roman" w:hAnsi="Arial" w:cs="Arial"/>
          <w:sz w:val="20"/>
          <w:szCs w:val="20"/>
          <w:lang w:eastAsia="en-GB"/>
        </w:rPr>
        <w:br/>
        <w:t>The CBT approach is based on the cognitive model which states that thoughts, feelings and behaviours are all connected. CBT is based on the underlying assumption that affect (emotions) and behaviour are largely a product of an individual’s cognitions (thoughts) (Kendal, 1991</w:t>
      </w:r>
      <w:proofErr w:type="gramStart"/>
      <w:r w:rsidRPr="004266BA">
        <w:rPr>
          <w:rFonts w:ascii="Arial" w:eastAsia="Times New Roman" w:hAnsi="Arial" w:cs="Arial"/>
          <w:sz w:val="20"/>
          <w:szCs w:val="20"/>
          <w:lang w:eastAsia="en-GB"/>
        </w:rPr>
        <w:t>)[</w:t>
      </w:r>
      <w:proofErr w:type="gramEnd"/>
      <w:r w:rsidRPr="004266BA">
        <w:rPr>
          <w:rFonts w:ascii="Arial" w:eastAsia="Times New Roman" w:hAnsi="Arial" w:cs="Arial"/>
          <w:sz w:val="20"/>
          <w:szCs w:val="20"/>
          <w:lang w:eastAsia="en-GB"/>
        </w:rPr>
        <w:t>7]. This approach would look to work with young people to identify the specific thoughts that impacted upon them carrying out harmful sexual acts and work to challenge these thoughts and replace these with more helpful, pro-social thinking.</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Additional treatment targets may include family relationships and attachment difficulties, substance use, emotional management, problem solving, addressing minimisation and attitudes towards victims and wider social functioning and interpersonal relating. (NB: this is not an exhaustive list)</w:t>
      </w:r>
    </w:p>
    <w:p w:rsidR="001636DA" w:rsidRPr="004266BA" w:rsidRDefault="001636DA" w:rsidP="001636DA">
      <w:pPr>
        <w:spacing w:before="100" w:beforeAutospacing="1" w:after="100" w:afterAutospacing="1" w:line="189"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 xml:space="preserve">[7] Kendall, P.C. (1991). </w:t>
      </w:r>
      <w:proofErr w:type="gramStart"/>
      <w:r w:rsidRPr="004266BA">
        <w:rPr>
          <w:rFonts w:ascii="Arial" w:eastAsia="Times New Roman" w:hAnsi="Arial" w:cs="Arial"/>
          <w:sz w:val="20"/>
          <w:szCs w:val="20"/>
          <w:lang w:eastAsia="en-GB"/>
        </w:rPr>
        <w:t>Guiding theory for treating children and adolescents.</w:t>
      </w:r>
      <w:proofErr w:type="gramEnd"/>
      <w:r w:rsidRPr="004266BA">
        <w:rPr>
          <w:rFonts w:ascii="Arial" w:eastAsia="Times New Roman" w:hAnsi="Arial" w:cs="Arial"/>
          <w:sz w:val="20"/>
          <w:szCs w:val="20"/>
          <w:lang w:eastAsia="en-GB"/>
        </w:rPr>
        <w:t xml:space="preserve"> In: Kendall, P.C. (ed.), Child and adolescent therapy: Cognitive-behavioural procedures. Guildford Press: New York.</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br/>
      </w:r>
      <w:r w:rsidRPr="00EB5E73">
        <w:rPr>
          <w:rFonts w:ascii="Arial" w:eastAsia="Times New Roman" w:hAnsi="Arial" w:cs="Arial"/>
          <w:b/>
          <w:bCs/>
          <w:sz w:val="24"/>
          <w:szCs w:val="20"/>
          <w:lang w:eastAsia="en-GB"/>
        </w:rPr>
        <w:t>7. </w:t>
      </w:r>
      <w:bookmarkStart w:id="7" w:name="additional"/>
      <w:bookmarkEnd w:id="7"/>
      <w:r w:rsidRPr="00EB5E73">
        <w:rPr>
          <w:rFonts w:ascii="Arial" w:eastAsia="Times New Roman" w:hAnsi="Arial" w:cs="Arial"/>
          <w:b/>
          <w:bCs/>
          <w:sz w:val="24"/>
          <w:szCs w:val="20"/>
          <w:lang w:eastAsia="en-GB"/>
        </w:rPr>
        <w:t>Additional Support</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7.1 Training</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General training will be provided to all staff members working within Bryn Melyn Care to develop their understanding of what constitutes age/development appropriate healthy sexual behaviours. Furthermore, information will be shared on the continuum of sexual behaviours from healthy to abusive. Information will also be shared regarding the underlying factors as identified within research which support the development of problematic sexual behaviours.</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Additional training can be provided, where appropriate, when a young person is placed into one of our homes regarding planning on how the home can support a young person in addressing their problematic behaviours. </w:t>
      </w:r>
    </w:p>
    <w:p w:rsidR="001636DA" w:rsidRPr="004266BA" w:rsidRDefault="001636DA" w:rsidP="001636DA">
      <w:pPr>
        <w:spacing w:before="100" w:beforeAutospacing="1" w:after="100" w:afterAutospacing="1" w:line="240" w:lineRule="auto"/>
        <w:outlineLvl w:val="2"/>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7.2 Clinical Support</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Specialist clinical support can be provided on a case-by-case basis from the point of referral onwards. Additional consultations can be facilitated with individual Registered Care Managers to consider the specific risks associated for young people placed within their care.</w:t>
      </w:r>
    </w:p>
    <w:p w:rsidR="001636DA" w:rsidRPr="004266BA" w:rsidRDefault="001636DA" w:rsidP="001636DA">
      <w:pPr>
        <w:spacing w:after="0" w:line="240" w:lineRule="auto"/>
        <w:rPr>
          <w:rFonts w:ascii="Arial" w:eastAsia="Times New Roman" w:hAnsi="Arial" w:cs="Arial"/>
          <w:sz w:val="20"/>
          <w:szCs w:val="20"/>
          <w:lang w:eastAsia="en-GB"/>
        </w:rPr>
      </w:pPr>
      <w:r w:rsidRPr="004266BA">
        <w:rPr>
          <w:rFonts w:ascii="Arial" w:eastAsia="Times New Roman" w:hAnsi="Arial" w:cs="Arial"/>
          <w:sz w:val="20"/>
          <w:szCs w:val="20"/>
          <w:lang w:eastAsia="en-GB"/>
        </w:rPr>
        <w:t xml:space="preserve">Ongoing consultation will be provided for the staff team on a regular basis in line with the company consultation policy. </w:t>
      </w:r>
      <w:proofErr w:type="gramStart"/>
      <w:r w:rsidRPr="004266BA">
        <w:rPr>
          <w:rFonts w:ascii="Arial" w:eastAsia="Times New Roman" w:hAnsi="Arial" w:cs="Arial"/>
          <w:sz w:val="20"/>
          <w:szCs w:val="20"/>
          <w:lang w:eastAsia="en-GB"/>
        </w:rPr>
        <w:t>Where necessary further specialist support can be provided to the care teams.</w:t>
      </w:r>
      <w:proofErr w:type="gramEnd"/>
    </w:p>
    <w:p w:rsidR="001636DA" w:rsidRPr="00EB5E73"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4266BA">
        <w:rPr>
          <w:rFonts w:ascii="Arial" w:eastAsia="Times New Roman" w:hAnsi="Arial" w:cs="Arial"/>
          <w:b/>
          <w:bCs/>
          <w:sz w:val="20"/>
          <w:szCs w:val="20"/>
          <w:lang w:eastAsia="en-GB"/>
        </w:rPr>
        <w:br/>
      </w:r>
      <w:bookmarkStart w:id="8" w:name="_GoBack"/>
      <w:bookmarkEnd w:id="8"/>
      <w:r w:rsidRPr="00EB5E73">
        <w:rPr>
          <w:rFonts w:ascii="Arial" w:eastAsia="Times New Roman" w:hAnsi="Arial" w:cs="Arial"/>
          <w:b/>
          <w:bCs/>
          <w:sz w:val="24"/>
          <w:szCs w:val="20"/>
          <w:lang w:eastAsia="en-GB"/>
        </w:rPr>
        <w:t>8. </w:t>
      </w:r>
      <w:bookmarkStart w:id="9" w:name="national"/>
      <w:bookmarkEnd w:id="9"/>
      <w:r w:rsidRPr="00EB5E73">
        <w:rPr>
          <w:rFonts w:ascii="Arial" w:eastAsia="Times New Roman" w:hAnsi="Arial" w:cs="Arial"/>
          <w:b/>
          <w:bCs/>
          <w:sz w:val="24"/>
          <w:szCs w:val="20"/>
          <w:lang w:eastAsia="en-GB"/>
        </w:rPr>
        <w:t>National Guidance</w:t>
      </w:r>
    </w:p>
    <w:p w:rsidR="001636DA" w:rsidRPr="004266BA" w:rsidRDefault="001636DA" w:rsidP="001636DA">
      <w:pPr>
        <w:spacing w:before="100" w:beforeAutospacing="1" w:after="100" w:afterAutospacing="1" w:line="252" w:lineRule="atLeast"/>
        <w:rPr>
          <w:rFonts w:ascii="Arial" w:eastAsia="Times New Roman" w:hAnsi="Arial" w:cs="Arial"/>
          <w:sz w:val="20"/>
          <w:szCs w:val="20"/>
          <w:lang w:eastAsia="en-GB"/>
        </w:rPr>
      </w:pPr>
      <w:r w:rsidRPr="004266BA">
        <w:rPr>
          <w:rFonts w:ascii="Arial" w:eastAsia="Times New Roman" w:hAnsi="Arial" w:cs="Arial"/>
          <w:sz w:val="20"/>
          <w:szCs w:val="20"/>
          <w:lang w:eastAsia="en-GB"/>
        </w:rPr>
        <w:t>In February 2016 the National Institute of Clinical Excellence (NICE) published draft guidance for consultation regarding harmful sexual behaviour among children and young people. When this draft guidance is finalised this current policy will be reviewed in line with the recommendations set out within the final document produced by the NICE.</w:t>
      </w:r>
    </w:p>
    <w:p w:rsidR="001636DA" w:rsidRPr="004266BA" w:rsidRDefault="001636DA" w:rsidP="001636DA">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lastRenderedPageBreak/>
        <w:br/>
      </w:r>
      <w:r w:rsidRPr="008D4B3B">
        <w:rPr>
          <w:rFonts w:ascii="Arial" w:eastAsia="Times New Roman" w:hAnsi="Arial" w:cs="Arial"/>
          <w:b/>
          <w:bCs/>
          <w:sz w:val="24"/>
          <w:szCs w:val="20"/>
          <w:lang w:eastAsia="en-GB"/>
        </w:rPr>
        <w:t>9. </w:t>
      </w:r>
      <w:bookmarkStart w:id="10" w:name="links"/>
      <w:bookmarkEnd w:id="10"/>
      <w:r w:rsidRPr="008D4B3B">
        <w:rPr>
          <w:rFonts w:ascii="Arial" w:eastAsia="Times New Roman" w:hAnsi="Arial" w:cs="Arial"/>
          <w:b/>
          <w:bCs/>
          <w:sz w:val="24"/>
          <w:szCs w:val="20"/>
          <w:lang w:eastAsia="en-GB"/>
        </w:rPr>
        <w:t>Useful Links</w:t>
      </w:r>
    </w:p>
    <w:p w:rsidR="001636DA" w:rsidRPr="00EB5E73" w:rsidRDefault="008D4B3B" w:rsidP="001636DA">
      <w:pPr>
        <w:spacing w:before="100" w:beforeAutospacing="1" w:after="100" w:afterAutospacing="1" w:line="252" w:lineRule="atLeast"/>
        <w:rPr>
          <w:rFonts w:ascii="Arial" w:eastAsia="Times New Roman" w:hAnsi="Arial" w:cs="Arial"/>
          <w:sz w:val="20"/>
          <w:szCs w:val="20"/>
          <w:lang w:eastAsia="en-GB"/>
        </w:rPr>
      </w:pPr>
      <w:hyperlink r:id="rId34" w:tgtFrame="_blank" w:history="1">
        <w:r w:rsidR="001636DA" w:rsidRPr="00EB5E73">
          <w:rPr>
            <w:rFonts w:ascii="Arial" w:eastAsia="Times New Roman" w:hAnsi="Arial" w:cs="Arial"/>
            <w:b/>
            <w:bCs/>
            <w:sz w:val="20"/>
            <w:szCs w:val="20"/>
            <w:lang w:eastAsia="en-GB"/>
          </w:rPr>
          <w:t xml:space="preserve">The needs and effective treatment of young people who sexually abuse: current evidence. </w:t>
        </w:r>
        <w:proofErr w:type="gramStart"/>
        <w:r w:rsidR="001636DA" w:rsidRPr="00EB5E73">
          <w:rPr>
            <w:rFonts w:ascii="Arial" w:eastAsia="Times New Roman" w:hAnsi="Arial" w:cs="Arial"/>
            <w:b/>
            <w:bCs/>
            <w:sz w:val="20"/>
            <w:szCs w:val="20"/>
            <w:lang w:eastAsia="en-GB"/>
          </w:rPr>
          <w:t>Royal College of Psychiatrists, 2006</w:t>
        </w:r>
      </w:hyperlink>
      <w:r w:rsidR="001636DA" w:rsidRPr="00EB5E73">
        <w:rPr>
          <w:rFonts w:ascii="Arial" w:eastAsia="Times New Roman" w:hAnsi="Arial" w:cs="Arial"/>
          <w:sz w:val="20"/>
          <w:szCs w:val="20"/>
          <w:lang w:eastAsia="en-GB"/>
        </w:rPr>
        <w:t>.</w:t>
      </w:r>
      <w:proofErr w:type="gramEnd"/>
    </w:p>
    <w:p w:rsidR="001636DA" w:rsidRPr="00EB5E73" w:rsidRDefault="008D4B3B" w:rsidP="001636DA">
      <w:pPr>
        <w:spacing w:before="100" w:beforeAutospacing="1" w:after="100" w:afterAutospacing="1" w:line="252" w:lineRule="atLeast"/>
        <w:rPr>
          <w:rFonts w:ascii="Arial" w:eastAsia="Times New Roman" w:hAnsi="Arial" w:cs="Arial"/>
          <w:sz w:val="20"/>
          <w:szCs w:val="20"/>
          <w:lang w:eastAsia="en-GB"/>
        </w:rPr>
      </w:pPr>
      <w:hyperlink r:id="rId35" w:tgtFrame="_blank" w:history="1">
        <w:r w:rsidR="001636DA" w:rsidRPr="00EB5E73">
          <w:rPr>
            <w:rFonts w:ascii="Arial" w:eastAsia="Times New Roman" w:hAnsi="Arial" w:cs="Arial"/>
            <w:b/>
            <w:bCs/>
            <w:sz w:val="20"/>
            <w:szCs w:val="20"/>
            <w:lang w:eastAsia="en-GB"/>
          </w:rPr>
          <w:t xml:space="preserve">The needs and effective treatment of young people who sexually abuse: current evidence. </w:t>
        </w:r>
        <w:proofErr w:type="gramStart"/>
        <w:r w:rsidR="001636DA" w:rsidRPr="00EB5E73">
          <w:rPr>
            <w:rFonts w:ascii="Arial" w:eastAsia="Times New Roman" w:hAnsi="Arial" w:cs="Arial"/>
            <w:b/>
            <w:bCs/>
            <w:sz w:val="20"/>
            <w:szCs w:val="20"/>
            <w:lang w:eastAsia="en-GB"/>
          </w:rPr>
          <w:t>Department of Health, 2006</w:t>
        </w:r>
      </w:hyperlink>
      <w:r w:rsidR="001636DA" w:rsidRPr="00EB5E73">
        <w:rPr>
          <w:rFonts w:ascii="Arial" w:eastAsia="Times New Roman" w:hAnsi="Arial" w:cs="Arial"/>
          <w:sz w:val="20"/>
          <w:szCs w:val="20"/>
          <w:lang w:eastAsia="en-GB"/>
        </w:rPr>
        <w:t>.</w:t>
      </w:r>
      <w:proofErr w:type="gramEnd"/>
    </w:p>
    <w:p w:rsidR="001636DA" w:rsidRPr="00EB5E73" w:rsidRDefault="008D4B3B" w:rsidP="001636DA">
      <w:pPr>
        <w:spacing w:before="100" w:beforeAutospacing="1" w:after="100" w:afterAutospacing="1" w:line="252" w:lineRule="atLeast"/>
        <w:rPr>
          <w:rFonts w:ascii="Arial" w:eastAsia="Times New Roman" w:hAnsi="Arial" w:cs="Arial"/>
          <w:sz w:val="20"/>
          <w:szCs w:val="20"/>
          <w:lang w:eastAsia="en-GB"/>
        </w:rPr>
      </w:pPr>
      <w:hyperlink r:id="rId36" w:tgtFrame="_blank" w:history="1">
        <w:proofErr w:type="gramStart"/>
        <w:r w:rsidR="001636DA" w:rsidRPr="00EB5E73">
          <w:rPr>
            <w:rFonts w:ascii="Arial" w:eastAsia="Times New Roman" w:hAnsi="Arial" w:cs="Arial"/>
            <w:b/>
            <w:bCs/>
            <w:sz w:val="20"/>
            <w:szCs w:val="20"/>
            <w:lang w:eastAsia="en-GB"/>
          </w:rPr>
          <w:t>Working Together to Safeguard Children: A guide to inter-agency working to safeguard and promote the welfare of children.</w:t>
        </w:r>
        <w:proofErr w:type="gramEnd"/>
        <w:r w:rsidR="001636DA" w:rsidRPr="00EB5E73">
          <w:rPr>
            <w:rFonts w:ascii="Arial" w:eastAsia="Times New Roman" w:hAnsi="Arial" w:cs="Arial"/>
            <w:b/>
            <w:bCs/>
            <w:sz w:val="20"/>
            <w:szCs w:val="20"/>
            <w:lang w:eastAsia="en-GB"/>
          </w:rPr>
          <w:t> </w:t>
        </w:r>
        <w:proofErr w:type="gramStart"/>
        <w:r w:rsidR="001636DA" w:rsidRPr="00EB5E73">
          <w:rPr>
            <w:rFonts w:ascii="Arial" w:eastAsia="Times New Roman" w:hAnsi="Arial" w:cs="Arial"/>
            <w:b/>
            <w:bCs/>
            <w:sz w:val="20"/>
            <w:szCs w:val="20"/>
            <w:lang w:eastAsia="en-GB"/>
          </w:rPr>
          <w:t>Department for Education, 2013</w:t>
        </w:r>
      </w:hyperlink>
      <w:r w:rsidR="001636DA" w:rsidRPr="00EB5E73">
        <w:rPr>
          <w:rFonts w:ascii="Arial" w:eastAsia="Times New Roman" w:hAnsi="Arial" w:cs="Arial"/>
          <w:sz w:val="20"/>
          <w:szCs w:val="20"/>
          <w:lang w:eastAsia="en-GB"/>
        </w:rPr>
        <w:t>.</w:t>
      </w:r>
      <w:proofErr w:type="gramEnd"/>
    </w:p>
    <w:p w:rsidR="001636DA" w:rsidRPr="00EB5E73" w:rsidRDefault="008D4B3B" w:rsidP="00EB5E73">
      <w:pPr>
        <w:tabs>
          <w:tab w:val="left" w:pos="5565"/>
        </w:tabs>
        <w:spacing w:before="100" w:beforeAutospacing="1" w:after="100" w:afterAutospacing="1" w:line="252" w:lineRule="atLeast"/>
        <w:rPr>
          <w:rFonts w:ascii="Arial" w:eastAsia="Times New Roman" w:hAnsi="Arial" w:cs="Arial"/>
          <w:sz w:val="20"/>
          <w:szCs w:val="20"/>
          <w:lang w:eastAsia="en-GB"/>
        </w:rPr>
      </w:pPr>
      <w:hyperlink r:id="rId37" w:tgtFrame="_blank" w:history="1">
        <w:r w:rsidR="001636DA" w:rsidRPr="00EB5E73">
          <w:rPr>
            <w:rFonts w:ascii="Arial" w:eastAsia="Times New Roman" w:hAnsi="Arial" w:cs="Arial"/>
            <w:b/>
            <w:bCs/>
            <w:sz w:val="20"/>
            <w:szCs w:val="20"/>
            <w:lang w:eastAsia="en-GB"/>
          </w:rPr>
          <w:t>Sexual Behaviours Traffic Light Tool</w:t>
        </w:r>
      </w:hyperlink>
      <w:r w:rsidR="00EB5E73" w:rsidRPr="00EB5E73">
        <w:rPr>
          <w:rFonts w:ascii="Arial" w:eastAsia="Times New Roman" w:hAnsi="Arial" w:cs="Arial"/>
          <w:b/>
          <w:bCs/>
          <w:sz w:val="20"/>
          <w:szCs w:val="20"/>
          <w:lang w:eastAsia="en-GB"/>
        </w:rPr>
        <w:tab/>
      </w:r>
    </w:p>
    <w:p w:rsidR="001636DA" w:rsidRPr="004266BA" w:rsidRDefault="008D4B3B" w:rsidP="001636DA">
      <w:pPr>
        <w:spacing w:before="100" w:beforeAutospacing="1" w:after="100" w:afterAutospacing="1" w:line="252" w:lineRule="atLeast"/>
        <w:rPr>
          <w:rFonts w:ascii="Arial" w:eastAsia="Times New Roman" w:hAnsi="Arial" w:cs="Arial"/>
          <w:sz w:val="20"/>
          <w:szCs w:val="20"/>
          <w:lang w:eastAsia="en-GB"/>
        </w:rPr>
      </w:pPr>
      <w:hyperlink r:id="rId38" w:tgtFrame="_blank" w:history="1">
        <w:r w:rsidR="001636DA" w:rsidRPr="00EB5E73">
          <w:rPr>
            <w:rFonts w:ascii="Arial" w:eastAsia="Times New Roman" w:hAnsi="Arial" w:cs="Arial"/>
            <w:b/>
            <w:bCs/>
            <w:sz w:val="20"/>
            <w:szCs w:val="20"/>
            <w:lang w:eastAsia="en-GB"/>
          </w:rPr>
          <w:t>Sexual Behaviours in Children &amp; Young People - Traffic Lights Brochure</w:t>
        </w:r>
      </w:hyperlink>
    </w:p>
    <w:p w:rsidR="001636DA" w:rsidRPr="004266BA" w:rsidRDefault="001636DA" w:rsidP="001636DA">
      <w:pPr>
        <w:spacing w:before="100" w:beforeAutospacing="1" w:after="100" w:afterAutospacing="1" w:line="252" w:lineRule="atLeast"/>
        <w:jc w:val="center"/>
        <w:rPr>
          <w:rFonts w:ascii="Arial" w:eastAsia="Times New Roman" w:hAnsi="Arial" w:cs="Arial"/>
          <w:b/>
          <w:bCs/>
          <w:sz w:val="20"/>
          <w:szCs w:val="20"/>
          <w:lang w:eastAsia="en-GB"/>
        </w:rPr>
      </w:pPr>
      <w:r w:rsidRPr="004266BA">
        <w:rPr>
          <w:rFonts w:ascii="Arial" w:eastAsia="Times New Roman" w:hAnsi="Arial" w:cs="Arial"/>
          <w:b/>
          <w:bCs/>
          <w:sz w:val="20"/>
          <w:szCs w:val="20"/>
          <w:lang w:eastAsia="en-GB"/>
        </w:rPr>
        <w:t>End</w:t>
      </w:r>
    </w:p>
    <w:p w:rsidR="0087322C" w:rsidRPr="004266BA" w:rsidRDefault="0087322C" w:rsidP="006F58D5">
      <w:pPr>
        <w:rPr>
          <w:rFonts w:ascii="Arial" w:hAnsi="Arial" w:cs="Arial"/>
          <w:sz w:val="20"/>
          <w:szCs w:val="20"/>
        </w:rPr>
      </w:pPr>
    </w:p>
    <w:sectPr w:rsidR="0087322C" w:rsidRPr="004266BA">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56" w:rsidRDefault="00EB5E73">
      <w:pPr>
        <w:spacing w:after="0" w:line="240" w:lineRule="auto"/>
      </w:pPr>
      <w:r>
        <w:separator/>
      </w:r>
    </w:p>
  </w:endnote>
  <w:endnote w:type="continuationSeparator" w:id="0">
    <w:p w:rsidR="00A74D56" w:rsidRDefault="00EB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9" w:rsidRDefault="008D4B3B">
    <w:pPr>
      <w:widowControl w:val="0"/>
      <w:autoSpaceDE w:val="0"/>
      <w:autoSpaceDN w:val="0"/>
      <w:adjustRightInd w:val="0"/>
      <w:spacing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simplePos x="0" y="0"/>
              <wp:positionH relativeFrom="page">
                <wp:posOffset>6739255</wp:posOffset>
              </wp:positionH>
              <wp:positionV relativeFrom="page">
                <wp:posOffset>9810115</wp:posOffset>
              </wp:positionV>
              <wp:extent cx="126365" cy="16383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839" w:rsidRDefault="008D4B3B" w:rsidP="00EB5E73">
                          <w:pPr>
                            <w:widowControl w:val="0"/>
                            <w:autoSpaceDE w:val="0"/>
                            <w:autoSpaceDN w:val="0"/>
                            <w:adjustRightInd w:val="0"/>
                            <w:spacing w:line="246" w:lineRule="exact"/>
                            <w:ind w:right="-20"/>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65pt;margin-top:772.45pt;width:9.9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eprAIAAKgFAAAOAAAAZHJzL2Uyb0RvYy54bWysVG1vmzAQ/j5p/8Hyd8pLCAV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" o:allowincell="f" filled="f" stroked="f">
              <v:textbox inset="0,0,0,0">
                <w:txbxContent>
                  <w:p w:rsidR="00384839" w:rsidRDefault="008D4B3B" w:rsidP="00EB5E73">
                    <w:pPr>
                      <w:widowControl w:val="0"/>
                      <w:autoSpaceDE w:val="0"/>
                      <w:autoSpaceDN w:val="0"/>
                      <w:adjustRightInd w:val="0"/>
                      <w:spacing w:line="246" w:lineRule="exact"/>
                      <w:ind w:right="-20"/>
                      <w:rPr>
                        <w:rFonts w:ascii="Tahoma" w:hAnsi="Tahoma" w:cs="Tahom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56" w:rsidRDefault="00EB5E73">
      <w:pPr>
        <w:spacing w:after="0" w:line="240" w:lineRule="auto"/>
      </w:pPr>
      <w:r>
        <w:separator/>
      </w:r>
    </w:p>
  </w:footnote>
  <w:footnote w:type="continuationSeparator" w:id="0">
    <w:p w:rsidR="00A74D56" w:rsidRDefault="00EB5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6"/>
    <w:multiLevelType w:val="multilevel"/>
    <w:tmpl w:val="819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7F31"/>
    <w:multiLevelType w:val="multilevel"/>
    <w:tmpl w:val="937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652C3"/>
    <w:multiLevelType w:val="multilevel"/>
    <w:tmpl w:val="7BC23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2C742B"/>
    <w:multiLevelType w:val="multilevel"/>
    <w:tmpl w:val="F290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C7F32"/>
    <w:multiLevelType w:val="multilevel"/>
    <w:tmpl w:val="D08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E460B"/>
    <w:multiLevelType w:val="multilevel"/>
    <w:tmpl w:val="CE6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00B50"/>
    <w:multiLevelType w:val="multilevel"/>
    <w:tmpl w:val="394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20738"/>
    <w:multiLevelType w:val="multilevel"/>
    <w:tmpl w:val="645A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753514"/>
    <w:multiLevelType w:val="multilevel"/>
    <w:tmpl w:val="D7D82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34161"/>
    <w:multiLevelType w:val="multilevel"/>
    <w:tmpl w:val="BC80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8045F"/>
    <w:multiLevelType w:val="hybridMultilevel"/>
    <w:tmpl w:val="620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C31EA0"/>
    <w:multiLevelType w:val="multilevel"/>
    <w:tmpl w:val="2DE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320C5"/>
    <w:multiLevelType w:val="multilevel"/>
    <w:tmpl w:val="9E46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C55BDB"/>
    <w:multiLevelType w:val="multilevel"/>
    <w:tmpl w:val="581C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D80A83"/>
    <w:multiLevelType w:val="multilevel"/>
    <w:tmpl w:val="CAB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E55DE"/>
    <w:multiLevelType w:val="multilevel"/>
    <w:tmpl w:val="F37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B6006"/>
    <w:multiLevelType w:val="multilevel"/>
    <w:tmpl w:val="347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E3075"/>
    <w:multiLevelType w:val="multilevel"/>
    <w:tmpl w:val="724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B0DE7"/>
    <w:multiLevelType w:val="multilevel"/>
    <w:tmpl w:val="1D7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D3C12"/>
    <w:multiLevelType w:val="multilevel"/>
    <w:tmpl w:val="8E4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256BE"/>
    <w:multiLevelType w:val="multilevel"/>
    <w:tmpl w:val="066E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339F5"/>
    <w:multiLevelType w:val="multilevel"/>
    <w:tmpl w:val="434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4B14DF"/>
    <w:multiLevelType w:val="multilevel"/>
    <w:tmpl w:val="ADA0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B857B0"/>
    <w:multiLevelType w:val="multilevel"/>
    <w:tmpl w:val="8BD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909DE"/>
    <w:multiLevelType w:val="multilevel"/>
    <w:tmpl w:val="54E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8C23BF"/>
    <w:multiLevelType w:val="multilevel"/>
    <w:tmpl w:val="44D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9E2AF0"/>
    <w:multiLevelType w:val="multilevel"/>
    <w:tmpl w:val="E92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75513D"/>
    <w:multiLevelType w:val="multilevel"/>
    <w:tmpl w:val="98D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DB6A84"/>
    <w:multiLevelType w:val="multilevel"/>
    <w:tmpl w:val="51F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325AB5"/>
    <w:multiLevelType w:val="hybridMultilevel"/>
    <w:tmpl w:val="1514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676C53"/>
    <w:multiLevelType w:val="multilevel"/>
    <w:tmpl w:val="0A0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BC24FB"/>
    <w:multiLevelType w:val="multilevel"/>
    <w:tmpl w:val="DCF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B7339"/>
    <w:multiLevelType w:val="multilevel"/>
    <w:tmpl w:val="482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C224D"/>
    <w:multiLevelType w:val="multilevel"/>
    <w:tmpl w:val="538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FF4D52"/>
    <w:multiLevelType w:val="multilevel"/>
    <w:tmpl w:val="0684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6657D"/>
    <w:multiLevelType w:val="multilevel"/>
    <w:tmpl w:val="6CA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3656DE"/>
    <w:multiLevelType w:val="hybridMultilevel"/>
    <w:tmpl w:val="983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3C3F89"/>
    <w:multiLevelType w:val="multilevel"/>
    <w:tmpl w:val="4FB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33586"/>
    <w:multiLevelType w:val="multilevel"/>
    <w:tmpl w:val="180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70EC6"/>
    <w:multiLevelType w:val="multilevel"/>
    <w:tmpl w:val="E0D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74500A"/>
    <w:multiLevelType w:val="multilevel"/>
    <w:tmpl w:val="C53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553E5"/>
    <w:multiLevelType w:val="multilevel"/>
    <w:tmpl w:val="60F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065901"/>
    <w:multiLevelType w:val="multilevel"/>
    <w:tmpl w:val="7892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2"/>
  </w:num>
  <w:num w:numId="4">
    <w:abstractNumId w:val="19"/>
  </w:num>
  <w:num w:numId="5">
    <w:abstractNumId w:val="7"/>
  </w:num>
  <w:num w:numId="6">
    <w:abstractNumId w:val="8"/>
  </w:num>
  <w:num w:numId="7">
    <w:abstractNumId w:val="4"/>
  </w:num>
  <w:num w:numId="8">
    <w:abstractNumId w:val="23"/>
  </w:num>
  <w:num w:numId="9">
    <w:abstractNumId w:val="12"/>
  </w:num>
  <w:num w:numId="10">
    <w:abstractNumId w:val="30"/>
  </w:num>
  <w:num w:numId="11">
    <w:abstractNumId w:val="0"/>
  </w:num>
  <w:num w:numId="12">
    <w:abstractNumId w:val="24"/>
  </w:num>
  <w:num w:numId="13">
    <w:abstractNumId w:val="6"/>
  </w:num>
  <w:num w:numId="14">
    <w:abstractNumId w:val="13"/>
  </w:num>
  <w:num w:numId="15">
    <w:abstractNumId w:val="25"/>
  </w:num>
  <w:num w:numId="16">
    <w:abstractNumId w:val="38"/>
  </w:num>
  <w:num w:numId="17">
    <w:abstractNumId w:val="33"/>
  </w:num>
  <w:num w:numId="18">
    <w:abstractNumId w:val="20"/>
  </w:num>
  <w:num w:numId="19">
    <w:abstractNumId w:val="39"/>
  </w:num>
  <w:num w:numId="20">
    <w:abstractNumId w:val="17"/>
  </w:num>
  <w:num w:numId="21">
    <w:abstractNumId w:val="42"/>
  </w:num>
  <w:num w:numId="22">
    <w:abstractNumId w:val="34"/>
  </w:num>
  <w:num w:numId="23">
    <w:abstractNumId w:val="11"/>
  </w:num>
  <w:num w:numId="24">
    <w:abstractNumId w:val="5"/>
  </w:num>
  <w:num w:numId="25">
    <w:abstractNumId w:val="41"/>
  </w:num>
  <w:num w:numId="26">
    <w:abstractNumId w:val="35"/>
  </w:num>
  <w:num w:numId="27">
    <w:abstractNumId w:val="9"/>
  </w:num>
  <w:num w:numId="28">
    <w:abstractNumId w:val="31"/>
  </w:num>
  <w:num w:numId="29">
    <w:abstractNumId w:val="28"/>
  </w:num>
  <w:num w:numId="30">
    <w:abstractNumId w:val="22"/>
  </w:num>
  <w:num w:numId="31">
    <w:abstractNumId w:val="32"/>
  </w:num>
  <w:num w:numId="32">
    <w:abstractNumId w:val="37"/>
  </w:num>
  <w:num w:numId="33">
    <w:abstractNumId w:val="40"/>
  </w:num>
  <w:num w:numId="34">
    <w:abstractNumId w:val="14"/>
  </w:num>
  <w:num w:numId="35">
    <w:abstractNumId w:val="1"/>
  </w:num>
  <w:num w:numId="36">
    <w:abstractNumId w:val="27"/>
  </w:num>
  <w:num w:numId="37">
    <w:abstractNumId w:val="21"/>
  </w:num>
  <w:num w:numId="38">
    <w:abstractNumId w:val="26"/>
  </w:num>
  <w:num w:numId="39">
    <w:abstractNumId w:val="15"/>
  </w:num>
  <w:num w:numId="40">
    <w:abstractNumId w:val="18"/>
  </w:num>
  <w:num w:numId="41">
    <w:abstractNumId w:val="29"/>
  </w:num>
  <w:num w:numId="42">
    <w:abstractNumId w:val="10"/>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42FBC"/>
    <w:rsid w:val="00043DFC"/>
    <w:rsid w:val="000767E1"/>
    <w:rsid w:val="000B52D6"/>
    <w:rsid w:val="000C7882"/>
    <w:rsid w:val="000E102C"/>
    <w:rsid w:val="000F6FF7"/>
    <w:rsid w:val="00103729"/>
    <w:rsid w:val="00147998"/>
    <w:rsid w:val="00162FB7"/>
    <w:rsid w:val="001636DA"/>
    <w:rsid w:val="00165D80"/>
    <w:rsid w:val="001837D9"/>
    <w:rsid w:val="0019226D"/>
    <w:rsid w:val="001954DD"/>
    <w:rsid w:val="001A68DE"/>
    <w:rsid w:val="001D54B9"/>
    <w:rsid w:val="00204FFF"/>
    <w:rsid w:val="0023117D"/>
    <w:rsid w:val="00271459"/>
    <w:rsid w:val="00276C41"/>
    <w:rsid w:val="00293609"/>
    <w:rsid w:val="002D645D"/>
    <w:rsid w:val="002D740C"/>
    <w:rsid w:val="002E5BBA"/>
    <w:rsid w:val="0030083B"/>
    <w:rsid w:val="00303DCD"/>
    <w:rsid w:val="003077C6"/>
    <w:rsid w:val="003A6DA0"/>
    <w:rsid w:val="003F03FD"/>
    <w:rsid w:val="00406E33"/>
    <w:rsid w:val="004266BA"/>
    <w:rsid w:val="00440A77"/>
    <w:rsid w:val="00487FB5"/>
    <w:rsid w:val="00491903"/>
    <w:rsid w:val="004F5979"/>
    <w:rsid w:val="00521C88"/>
    <w:rsid w:val="0054534E"/>
    <w:rsid w:val="00572898"/>
    <w:rsid w:val="00590373"/>
    <w:rsid w:val="005B3552"/>
    <w:rsid w:val="005B49B0"/>
    <w:rsid w:val="005C1538"/>
    <w:rsid w:val="005F310A"/>
    <w:rsid w:val="005F6C30"/>
    <w:rsid w:val="0060025E"/>
    <w:rsid w:val="00601553"/>
    <w:rsid w:val="00631209"/>
    <w:rsid w:val="00644690"/>
    <w:rsid w:val="0067033F"/>
    <w:rsid w:val="006828BC"/>
    <w:rsid w:val="006A37E0"/>
    <w:rsid w:val="006F58D5"/>
    <w:rsid w:val="006F5BAD"/>
    <w:rsid w:val="00710B42"/>
    <w:rsid w:val="00741485"/>
    <w:rsid w:val="00776797"/>
    <w:rsid w:val="007873F4"/>
    <w:rsid w:val="007A6AE8"/>
    <w:rsid w:val="007B7054"/>
    <w:rsid w:val="007F5D07"/>
    <w:rsid w:val="00802318"/>
    <w:rsid w:val="00807917"/>
    <w:rsid w:val="00816BD6"/>
    <w:rsid w:val="00852B02"/>
    <w:rsid w:val="00856675"/>
    <w:rsid w:val="00861EE0"/>
    <w:rsid w:val="0087322C"/>
    <w:rsid w:val="00882BA9"/>
    <w:rsid w:val="008C1469"/>
    <w:rsid w:val="008D30C3"/>
    <w:rsid w:val="008D4B3B"/>
    <w:rsid w:val="008F5919"/>
    <w:rsid w:val="008F5EDA"/>
    <w:rsid w:val="008F6C50"/>
    <w:rsid w:val="0092114F"/>
    <w:rsid w:val="00946B31"/>
    <w:rsid w:val="00952AB7"/>
    <w:rsid w:val="00962D89"/>
    <w:rsid w:val="0096476B"/>
    <w:rsid w:val="00973657"/>
    <w:rsid w:val="0098779F"/>
    <w:rsid w:val="009930D3"/>
    <w:rsid w:val="00994369"/>
    <w:rsid w:val="009A037B"/>
    <w:rsid w:val="009A2B87"/>
    <w:rsid w:val="009B0751"/>
    <w:rsid w:val="00A42D6D"/>
    <w:rsid w:val="00A633B5"/>
    <w:rsid w:val="00A74D56"/>
    <w:rsid w:val="00A80CAE"/>
    <w:rsid w:val="00A82BDE"/>
    <w:rsid w:val="00A9208F"/>
    <w:rsid w:val="00A94AB3"/>
    <w:rsid w:val="00AC4D91"/>
    <w:rsid w:val="00AF0F21"/>
    <w:rsid w:val="00B4108A"/>
    <w:rsid w:val="00B433B3"/>
    <w:rsid w:val="00B6631C"/>
    <w:rsid w:val="00B75BE9"/>
    <w:rsid w:val="00B813E5"/>
    <w:rsid w:val="00B927F7"/>
    <w:rsid w:val="00BA7ED0"/>
    <w:rsid w:val="00BC1062"/>
    <w:rsid w:val="00BE2963"/>
    <w:rsid w:val="00BE5E5B"/>
    <w:rsid w:val="00C118DD"/>
    <w:rsid w:val="00C12241"/>
    <w:rsid w:val="00C23C89"/>
    <w:rsid w:val="00C36677"/>
    <w:rsid w:val="00C576A5"/>
    <w:rsid w:val="00C73375"/>
    <w:rsid w:val="00CB0CD6"/>
    <w:rsid w:val="00CB3112"/>
    <w:rsid w:val="00CB5F81"/>
    <w:rsid w:val="00CE3B42"/>
    <w:rsid w:val="00D47294"/>
    <w:rsid w:val="00D507B7"/>
    <w:rsid w:val="00D53FA7"/>
    <w:rsid w:val="00D74466"/>
    <w:rsid w:val="00D934F2"/>
    <w:rsid w:val="00DF72B2"/>
    <w:rsid w:val="00E03916"/>
    <w:rsid w:val="00E20479"/>
    <w:rsid w:val="00E2263B"/>
    <w:rsid w:val="00E6673E"/>
    <w:rsid w:val="00E87CDE"/>
    <w:rsid w:val="00EA6CBB"/>
    <w:rsid w:val="00EB5E73"/>
    <w:rsid w:val="00EC24FA"/>
    <w:rsid w:val="00EC3C7E"/>
    <w:rsid w:val="00EE4305"/>
    <w:rsid w:val="00F058BB"/>
    <w:rsid w:val="00F30F7A"/>
    <w:rsid w:val="00F50E3D"/>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043DFC"/>
    <w:rPr>
      <w:color w:val="0000FF" w:themeColor="hyperlink"/>
      <w:u w:val="single"/>
    </w:rPr>
  </w:style>
  <w:style w:type="paragraph" w:styleId="ListParagraph">
    <w:name w:val="List Paragraph"/>
    <w:basedOn w:val="Normal"/>
    <w:uiPriority w:val="34"/>
    <w:qFormat/>
    <w:rsid w:val="00043DFC"/>
    <w:pPr>
      <w:ind w:left="720"/>
      <w:contextualSpacing/>
    </w:pPr>
  </w:style>
  <w:style w:type="paragraph" w:styleId="Header">
    <w:name w:val="header"/>
    <w:basedOn w:val="Normal"/>
    <w:link w:val="HeaderChar"/>
    <w:uiPriority w:val="99"/>
    <w:unhideWhenUsed/>
    <w:rsid w:val="00EB5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73"/>
  </w:style>
  <w:style w:type="paragraph" w:styleId="Footer">
    <w:name w:val="footer"/>
    <w:basedOn w:val="Normal"/>
    <w:link w:val="FooterChar"/>
    <w:uiPriority w:val="99"/>
    <w:unhideWhenUsed/>
    <w:rsid w:val="00EB5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043DFC"/>
    <w:rPr>
      <w:color w:val="0000FF" w:themeColor="hyperlink"/>
      <w:u w:val="single"/>
    </w:rPr>
  </w:style>
  <w:style w:type="paragraph" w:styleId="ListParagraph">
    <w:name w:val="List Paragraph"/>
    <w:basedOn w:val="Normal"/>
    <w:uiPriority w:val="34"/>
    <w:qFormat/>
    <w:rsid w:val="00043DFC"/>
    <w:pPr>
      <w:ind w:left="720"/>
      <w:contextualSpacing/>
    </w:pPr>
  </w:style>
  <w:style w:type="paragraph" w:styleId="Header">
    <w:name w:val="header"/>
    <w:basedOn w:val="Normal"/>
    <w:link w:val="HeaderChar"/>
    <w:uiPriority w:val="99"/>
    <w:unhideWhenUsed/>
    <w:rsid w:val="00EB5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73"/>
  </w:style>
  <w:style w:type="paragraph" w:styleId="Footer">
    <w:name w:val="footer"/>
    <w:basedOn w:val="Normal"/>
    <w:link w:val="FooterChar"/>
    <w:uiPriority w:val="99"/>
    <w:unhideWhenUsed/>
    <w:rsid w:val="00EB5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harm_sex_behav.html" TargetMode="External"/><Relationship Id="rId13" Type="http://schemas.openxmlformats.org/officeDocument/2006/relationships/hyperlink" Target="http://www.proceduresonline.com/brynmelyn/chapters/p_harm_sex_behav.html" TargetMode="External"/><Relationship Id="rId18" Type="http://schemas.openxmlformats.org/officeDocument/2006/relationships/hyperlink" Target="http://onrezume.org/Guides/Guide%20to%20the%20protection%20of%20children%20standard.pdf" TargetMode="External"/><Relationship Id="rId26" Type="http://schemas.openxmlformats.org/officeDocument/2006/relationships/hyperlink" Target="http://www.proceduresonline.com/brynmelyn/chapters/p_police.ht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roceduresonline.com/brynmelyn/chapters/p_admissions.html" TargetMode="External"/><Relationship Id="rId34" Type="http://schemas.openxmlformats.org/officeDocument/2006/relationships/hyperlink" Target="http://www.rcpsych.ac.uk/pdf/Needs%20and%20treatment%20of%20YP%20who%20sexually%20abuse.pdf" TargetMode="External"/><Relationship Id="rId7" Type="http://schemas.openxmlformats.org/officeDocument/2006/relationships/endnotes" Target="endnotes.xml"/><Relationship Id="rId12" Type="http://schemas.openxmlformats.org/officeDocument/2006/relationships/hyperlink" Target="http://www.proceduresonline.com/brynmelyn/chapters/p_harm_sex_behav.html" TargetMode="External"/><Relationship Id="rId17" Type="http://schemas.openxmlformats.org/officeDocument/2006/relationships/hyperlink" Target="http://www.legislation.gov.uk/en/uksi/2015/541/regulation/12/made" TargetMode="External"/><Relationship Id="rId25" Type="http://schemas.openxmlformats.org/officeDocument/2006/relationships/hyperlink" Target="http://www.proceduresonline.com/brynmelyn/chapters/p_sex_hlth.htm" TargetMode="External"/><Relationship Id="rId33" Type="http://schemas.openxmlformats.org/officeDocument/2006/relationships/hyperlink" Target="https://www.brook.org.uk/data/SBTLT_guidance.pdf" TargetMode="External"/><Relationship Id="rId38" Type="http://schemas.openxmlformats.org/officeDocument/2006/relationships/hyperlink" Target="http://www.proceduresonline.com/brynmelyn/pdf/traffic_lights_brochure.pdf" TargetMode="External"/><Relationship Id="rId2" Type="http://schemas.openxmlformats.org/officeDocument/2006/relationships/styles" Target="styles.xml"/><Relationship Id="rId16" Type="http://schemas.openxmlformats.org/officeDocument/2006/relationships/hyperlink" Target="http://www.proceduresonline.com/brynmelyn/chapters/p_harm_sex_behav.html" TargetMode="External"/><Relationship Id="rId20" Type="http://schemas.openxmlformats.org/officeDocument/2006/relationships/hyperlink" Target="https://www.legislation.gov.uk/wsi/2017/1264/regulation/27/made" TargetMode="External"/><Relationship Id="rId29" Type="http://schemas.openxmlformats.org/officeDocument/2006/relationships/hyperlink" Target="http://www.proceduresonline.com/brynmelyn/chapters/p_cp_ap.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brynmelyn/chapters/p_harm_sex_behav.html" TargetMode="External"/><Relationship Id="rId24" Type="http://schemas.openxmlformats.org/officeDocument/2006/relationships/hyperlink" Target="http://www.proceduresonline.com/brynmelyn/chapters/p_therapy_engagement.html" TargetMode="External"/><Relationship Id="rId32" Type="http://schemas.openxmlformats.org/officeDocument/2006/relationships/hyperlink" Target="https://www.brook.org.uk/our-work/the-sexual-behaviours-traffic-light-tool" TargetMode="External"/><Relationship Id="rId37" Type="http://schemas.openxmlformats.org/officeDocument/2006/relationships/hyperlink" Target="https://www.brook.org.uk/our-work/category/sexual-behaviours-traffic-light-too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ceduresonline.com/brynmelyn/chapters/p_harm_sex_behav.html" TargetMode="External"/><Relationship Id="rId23" Type="http://schemas.openxmlformats.org/officeDocument/2006/relationships/hyperlink" Target="http://www.proceduresonline.com/brynmelyn/chapters/p_clinical_consult.html" TargetMode="External"/><Relationship Id="rId28" Type="http://schemas.openxmlformats.org/officeDocument/2006/relationships/hyperlink" Target="http://www.proceduresonline.com/brynmelyn/chapters/p_chil_bedroo.htm" TargetMode="External"/><Relationship Id="rId36" Type="http://schemas.openxmlformats.org/officeDocument/2006/relationships/hyperlink" Target="http://www.workingtogetheronline.co.uk/documents/Working_TogetherFINAL.pdf" TargetMode="External"/><Relationship Id="rId10" Type="http://schemas.openxmlformats.org/officeDocument/2006/relationships/hyperlink" Target="http://www.proceduresonline.com/brynmelyn/chapters/p_harm_sex_behav.html" TargetMode="External"/><Relationship Id="rId19" Type="http://schemas.openxmlformats.org/officeDocument/2006/relationships/hyperlink" Target="https://www.legislation.gov.uk/wsi/2017/1264/regulation/15/made" TargetMode="External"/><Relationship Id="rId31" Type="http://schemas.openxmlformats.org/officeDocument/2006/relationships/hyperlink" Target="https://www.brook.org.uk/our-work/the-sexual-behaviours-traffic-light-tool" TargetMode="External"/><Relationship Id="rId4" Type="http://schemas.openxmlformats.org/officeDocument/2006/relationships/settings" Target="settings.xml"/><Relationship Id="rId9" Type="http://schemas.openxmlformats.org/officeDocument/2006/relationships/hyperlink" Target="http://www.proceduresonline.com/brynmelyn/chapters/p_harm_sex_behav.html" TargetMode="External"/><Relationship Id="rId14" Type="http://schemas.openxmlformats.org/officeDocument/2006/relationships/hyperlink" Target="http://www.proceduresonline.com/brynmelyn/chapters/p_harm_sex_behav.html" TargetMode="External"/><Relationship Id="rId22" Type="http://schemas.openxmlformats.org/officeDocument/2006/relationships/hyperlink" Target="http://www.proceduresonline.com/brynmelyn/chapters/g_beh_man.htm" TargetMode="External"/><Relationship Id="rId27" Type="http://schemas.openxmlformats.org/officeDocument/2006/relationships/hyperlink" Target="http://www.proceduresonline.com/brynmelyn/chapters/p_notif_events.htm" TargetMode="External"/><Relationship Id="rId30" Type="http://schemas.openxmlformats.org/officeDocument/2006/relationships/hyperlink" Target="http://www.proceduresonline.com/brynmelyn/chapters/p_ch_sex_exp_pol.html" TargetMode="External"/><Relationship Id="rId35" Type="http://schemas.openxmlformats.org/officeDocument/2006/relationships/hyperlink" Target="http://webarchive.nationalarchives.gov.uk/+/dh.gov.uk/en/publicationsandstatistics/publications/publicationspolicyandguidance/dh_414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2018-10-01T15:19:00Z</dcterms:created>
  <dcterms:modified xsi:type="dcterms:W3CDTF">2018-12-05T12:45:00Z</dcterms:modified>
</cp:coreProperties>
</file>